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2E" w:rsidRPr="00841B7E" w:rsidRDefault="0008276F" w:rsidP="00841B7E">
      <w:pPr>
        <w:pStyle w:val="Header1"/>
        <w:tabs>
          <w:tab w:val="clear" w:pos="4153"/>
          <w:tab w:val="clear" w:pos="8306"/>
        </w:tabs>
        <w:jc w:val="right"/>
        <w:rPr>
          <w:rFonts w:ascii="Helvetica" w:hAnsi="Helvetica"/>
          <w:b/>
          <w:color w:val="FB0007"/>
          <w:sz w:val="24"/>
        </w:rPr>
      </w:pPr>
      <w:r>
        <w:rPr>
          <w:noProof/>
          <w:lang w:val="pl-PL" w:eastAsia="pl-PL"/>
        </w:rPr>
        <w:drawing>
          <wp:inline distT="0" distB="0" distL="0" distR="0">
            <wp:extent cx="1993900" cy="4826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993900" cy="482600"/>
                    </a:xfrm>
                    <a:prstGeom prst="rect">
                      <a:avLst/>
                    </a:prstGeom>
                    <a:noFill/>
                    <a:ln w="9525" cap="flat">
                      <a:noFill/>
                      <a:miter lim="800000"/>
                      <a:headEnd/>
                      <a:tailEnd/>
                    </a:ln>
                  </pic:spPr>
                </pic:pic>
              </a:graphicData>
            </a:graphic>
          </wp:inline>
        </w:drawing>
      </w:r>
    </w:p>
    <w:p w:rsidR="006E1F2E" w:rsidRPr="00841B7E" w:rsidRDefault="0008276F">
      <w:pPr>
        <w:pStyle w:val="Heading51"/>
        <w:rPr>
          <w:rFonts w:ascii="Arial" w:hAnsi="Arial" w:cs="Arial"/>
          <w:b/>
          <w:sz w:val="16"/>
          <w:szCs w:val="16"/>
        </w:rPr>
      </w:pP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r>
      <w:r w:rsidRPr="00841B7E">
        <w:rPr>
          <w:rFonts w:ascii="Arial" w:hAnsi="Arial" w:cs="Arial"/>
          <w:b/>
          <w:sz w:val="16"/>
          <w:szCs w:val="16"/>
        </w:rPr>
        <w:t xml:space="preserve">PRESS RELEASE </w:t>
      </w:r>
    </w:p>
    <w:p w:rsidR="006E1F2E" w:rsidRPr="00841B7E" w:rsidRDefault="0008276F">
      <w:pPr>
        <w:pStyle w:val="Heading51"/>
        <w:rPr>
          <w:rFonts w:ascii="Arial" w:hAnsi="Arial" w:cs="Arial"/>
          <w:sz w:val="16"/>
          <w:szCs w:val="16"/>
        </w:rPr>
      </w:pPr>
      <w:r w:rsidRPr="00841B7E">
        <w:rPr>
          <w:rFonts w:ascii="Arial" w:hAnsi="Arial" w:cs="Arial"/>
          <w:sz w:val="16"/>
          <w:szCs w:val="16"/>
        </w:rPr>
        <w:tab/>
      </w:r>
      <w:r w:rsidRPr="00841B7E">
        <w:rPr>
          <w:rFonts w:ascii="Arial" w:hAnsi="Arial" w:cs="Arial"/>
          <w:sz w:val="16"/>
          <w:szCs w:val="16"/>
        </w:rPr>
        <w:tab/>
      </w:r>
      <w:r w:rsidRPr="00841B7E">
        <w:rPr>
          <w:rFonts w:ascii="Arial" w:hAnsi="Arial" w:cs="Arial"/>
          <w:sz w:val="16"/>
          <w:szCs w:val="16"/>
        </w:rPr>
        <w:tab/>
      </w:r>
      <w:r w:rsidRPr="00841B7E">
        <w:rPr>
          <w:rFonts w:ascii="Arial" w:hAnsi="Arial" w:cs="Arial"/>
          <w:sz w:val="16"/>
          <w:szCs w:val="16"/>
        </w:rPr>
        <w:tab/>
        <w:t xml:space="preserve"> Michael Reilly</w:t>
      </w:r>
    </w:p>
    <w:p w:rsidR="006E1F2E" w:rsidRPr="00841B7E" w:rsidRDefault="0008276F">
      <w:pPr>
        <w:pStyle w:val="Heading51"/>
        <w:rPr>
          <w:rFonts w:ascii="Arial" w:hAnsi="Arial" w:cs="Arial"/>
          <w:sz w:val="16"/>
          <w:szCs w:val="16"/>
        </w:rPr>
      </w:pPr>
      <w:r w:rsidRPr="00841B7E">
        <w:rPr>
          <w:rFonts w:ascii="Arial" w:hAnsi="Arial" w:cs="Arial"/>
          <w:sz w:val="16"/>
          <w:szCs w:val="16"/>
        </w:rPr>
        <w:t>+44 (0)20 7152 5691/ +44 (0)7793 808 691</w:t>
      </w:r>
    </w:p>
    <w:p w:rsidR="006E1F2E" w:rsidRPr="00841B7E" w:rsidRDefault="004F0EEA">
      <w:pPr>
        <w:pStyle w:val="Heading51"/>
        <w:rPr>
          <w:rFonts w:ascii="Arial" w:hAnsi="Arial" w:cs="Arial"/>
          <w:sz w:val="16"/>
          <w:szCs w:val="16"/>
        </w:rPr>
      </w:pPr>
      <w:hyperlink r:id="rId10" w:history="1">
        <w:r w:rsidR="0008276F" w:rsidRPr="00841B7E">
          <w:rPr>
            <w:rStyle w:val="Hyperlink1"/>
            <w:rFonts w:ascii="Arial" w:hAnsi="Arial" w:cs="Arial"/>
            <w:sz w:val="16"/>
            <w:szCs w:val="16"/>
          </w:rPr>
          <w:t>michael.reilly@eur.cushwake.com</w:t>
        </w:r>
      </w:hyperlink>
      <w:r w:rsidR="0008276F" w:rsidRPr="00841B7E">
        <w:rPr>
          <w:rFonts w:ascii="Arial" w:hAnsi="Arial" w:cs="Arial"/>
          <w:sz w:val="16"/>
          <w:szCs w:val="16"/>
        </w:rPr>
        <w:t xml:space="preserve"> </w:t>
      </w:r>
    </w:p>
    <w:p w:rsidR="00841B7E" w:rsidRPr="00841B7E" w:rsidRDefault="004F0EEA" w:rsidP="00841B7E">
      <w:pPr>
        <w:pStyle w:val="Heading51"/>
        <w:rPr>
          <w:rFonts w:ascii="Arial" w:hAnsi="Arial" w:cs="Arial"/>
          <w:sz w:val="16"/>
          <w:szCs w:val="16"/>
        </w:rPr>
      </w:pPr>
      <w:hyperlink r:id="rId11" w:history="1">
        <w:r w:rsidR="00841B7E" w:rsidRPr="00841B7E">
          <w:rPr>
            <w:rStyle w:val="Hyperlink1"/>
            <w:rFonts w:ascii="Arial" w:hAnsi="Arial" w:cs="Arial"/>
            <w:sz w:val="16"/>
            <w:szCs w:val="16"/>
          </w:rPr>
          <w:t>www.twitter.com/cushwakeuk</w:t>
        </w:r>
      </w:hyperlink>
      <w:r w:rsidR="00841B7E" w:rsidRPr="00841B7E">
        <w:rPr>
          <w:rFonts w:ascii="Arial" w:hAnsi="Arial" w:cs="Arial"/>
          <w:sz w:val="16"/>
          <w:szCs w:val="16"/>
        </w:rPr>
        <w:t xml:space="preserve">  </w:t>
      </w:r>
    </w:p>
    <w:p w:rsidR="004F0EEA" w:rsidRDefault="004F0EEA" w:rsidP="00E1426E">
      <w:pPr>
        <w:rPr>
          <w:rFonts w:ascii="Arial" w:hAnsi="Arial" w:cs="Arial"/>
          <w:color w:val="FF0000"/>
          <w:szCs w:val="20"/>
        </w:rPr>
      </w:pPr>
    </w:p>
    <w:p w:rsidR="006E1F2E" w:rsidRPr="009877C6" w:rsidRDefault="006E1F2E">
      <w:pPr>
        <w:rPr>
          <w:rFonts w:ascii="Arial" w:hAnsi="Arial"/>
          <w:szCs w:val="20"/>
        </w:rPr>
      </w:pPr>
    </w:p>
    <w:p w:rsidR="00A43680" w:rsidRDefault="009877C6" w:rsidP="009877C6">
      <w:pPr>
        <w:jc w:val="center"/>
        <w:rPr>
          <w:rFonts w:ascii="Arial Bold" w:hAnsi="Arial Bold"/>
          <w:szCs w:val="20"/>
        </w:rPr>
      </w:pPr>
      <w:r w:rsidRPr="009877C6">
        <w:rPr>
          <w:rFonts w:ascii="Arial Bold" w:hAnsi="Arial Bold"/>
          <w:szCs w:val="20"/>
        </w:rPr>
        <w:t>NEW YO</w:t>
      </w:r>
      <w:r w:rsidR="00A43680">
        <w:rPr>
          <w:rFonts w:ascii="Arial Bold" w:hAnsi="Arial Bold"/>
          <w:szCs w:val="20"/>
        </w:rPr>
        <w:t>RK OVERTAKES HONG KONG AS</w:t>
      </w:r>
      <w:r w:rsidR="00F342CE">
        <w:rPr>
          <w:rFonts w:ascii="Arial Bold" w:hAnsi="Arial Bold"/>
          <w:szCs w:val="20"/>
        </w:rPr>
        <w:t xml:space="preserve"> </w:t>
      </w:r>
    </w:p>
    <w:p w:rsidR="00A43680" w:rsidRDefault="00A43680" w:rsidP="009877C6">
      <w:pPr>
        <w:jc w:val="center"/>
        <w:rPr>
          <w:rFonts w:ascii="Arial Bold" w:hAnsi="Arial Bold"/>
          <w:szCs w:val="20"/>
        </w:rPr>
      </w:pPr>
      <w:r>
        <w:rPr>
          <w:rFonts w:ascii="Arial Bold" w:hAnsi="Arial Bold"/>
          <w:szCs w:val="20"/>
        </w:rPr>
        <w:t>WORLD’S MOST EXPENSIVE SHOPPING LOCATION</w:t>
      </w:r>
    </w:p>
    <w:p w:rsidR="002B4D22" w:rsidRPr="002B4D22" w:rsidRDefault="00FB15B2" w:rsidP="00F51227">
      <w:pPr>
        <w:jc w:val="center"/>
        <w:rPr>
          <w:rFonts w:ascii="Arial" w:hAnsi="Arial" w:cs="Arial"/>
          <w:i/>
        </w:rPr>
      </w:pPr>
      <w:r w:rsidRPr="002B4D22">
        <w:rPr>
          <w:rFonts w:ascii="Arial" w:hAnsi="Arial" w:cs="Arial"/>
          <w:i/>
        </w:rPr>
        <w:t xml:space="preserve">Rents in New York’s </w:t>
      </w:r>
      <w:r w:rsidR="00B846C6">
        <w:rPr>
          <w:rFonts w:ascii="Arial" w:hAnsi="Arial" w:cs="Arial"/>
          <w:i/>
        </w:rPr>
        <w:t xml:space="preserve">Upper </w:t>
      </w:r>
      <w:r w:rsidRPr="002B4D22">
        <w:rPr>
          <w:rFonts w:ascii="Arial" w:hAnsi="Arial" w:cs="Arial"/>
          <w:i/>
        </w:rPr>
        <w:t>Fifth Avenue reac</w:t>
      </w:r>
      <w:r w:rsidR="00460891">
        <w:rPr>
          <w:rFonts w:ascii="Arial" w:hAnsi="Arial" w:cs="Arial"/>
          <w:i/>
        </w:rPr>
        <w:t>h</w:t>
      </w:r>
      <w:r w:rsidR="002008AB">
        <w:rPr>
          <w:rFonts w:ascii="Arial" w:hAnsi="Arial" w:cs="Arial"/>
          <w:i/>
        </w:rPr>
        <w:t>ed</w:t>
      </w:r>
      <w:r w:rsidR="00460891">
        <w:rPr>
          <w:rFonts w:ascii="Arial" w:hAnsi="Arial" w:cs="Arial"/>
          <w:i/>
        </w:rPr>
        <w:t xml:space="preserve"> </w:t>
      </w:r>
      <w:r w:rsidR="002B4D22" w:rsidRPr="002B4D22">
        <w:rPr>
          <w:rFonts w:ascii="Arial" w:hAnsi="Arial" w:cs="Arial"/>
          <w:i/>
        </w:rPr>
        <w:t xml:space="preserve">a record $3,500 per </w:t>
      </w:r>
      <w:proofErr w:type="spellStart"/>
      <w:r w:rsidR="002B4D22" w:rsidRPr="002B4D22">
        <w:rPr>
          <w:rFonts w:ascii="Arial" w:hAnsi="Arial" w:cs="Arial"/>
          <w:i/>
        </w:rPr>
        <w:t>sq</w:t>
      </w:r>
      <w:proofErr w:type="spellEnd"/>
      <w:r w:rsidR="002B4D22" w:rsidRPr="002B4D22">
        <w:rPr>
          <w:rFonts w:ascii="Arial" w:hAnsi="Arial" w:cs="Arial"/>
          <w:i/>
        </w:rPr>
        <w:t xml:space="preserve"> </w:t>
      </w:r>
      <w:proofErr w:type="spellStart"/>
      <w:r w:rsidR="002B4D22" w:rsidRPr="002B4D22">
        <w:rPr>
          <w:rFonts w:ascii="Arial" w:hAnsi="Arial" w:cs="Arial"/>
          <w:i/>
        </w:rPr>
        <w:t>ft</w:t>
      </w:r>
      <w:proofErr w:type="spellEnd"/>
      <w:r w:rsidR="002B4D22" w:rsidRPr="002B4D22">
        <w:rPr>
          <w:rFonts w:ascii="Arial" w:hAnsi="Arial" w:cs="Arial"/>
          <w:i/>
        </w:rPr>
        <w:t xml:space="preserve"> according to </w:t>
      </w:r>
    </w:p>
    <w:p w:rsidR="009877C6" w:rsidRPr="002B4D22" w:rsidRDefault="002B4D22" w:rsidP="003529C7">
      <w:pPr>
        <w:jc w:val="center"/>
        <w:rPr>
          <w:rFonts w:ascii="Arial" w:hAnsi="Arial" w:cs="Arial"/>
          <w:i/>
        </w:rPr>
      </w:pPr>
      <w:r w:rsidRPr="002B4D22">
        <w:rPr>
          <w:rFonts w:ascii="Arial" w:hAnsi="Arial" w:cs="Arial"/>
          <w:i/>
        </w:rPr>
        <w:t>C</w:t>
      </w:r>
      <w:r w:rsidR="003529C7">
        <w:rPr>
          <w:rFonts w:ascii="Arial" w:hAnsi="Arial" w:cs="Arial"/>
          <w:i/>
        </w:rPr>
        <w:t xml:space="preserve">ushman </w:t>
      </w:r>
      <w:r w:rsidRPr="002B4D22">
        <w:rPr>
          <w:rFonts w:ascii="Arial" w:hAnsi="Arial" w:cs="Arial"/>
          <w:i/>
        </w:rPr>
        <w:t>&amp;</w:t>
      </w:r>
      <w:r w:rsidR="003529C7">
        <w:rPr>
          <w:rFonts w:ascii="Arial" w:hAnsi="Arial" w:cs="Arial"/>
          <w:i/>
        </w:rPr>
        <w:t xml:space="preserve"> </w:t>
      </w:r>
      <w:r w:rsidRPr="002B4D22">
        <w:rPr>
          <w:rFonts w:ascii="Arial" w:hAnsi="Arial" w:cs="Arial"/>
          <w:i/>
        </w:rPr>
        <w:t>W</w:t>
      </w:r>
      <w:r w:rsidR="003529C7">
        <w:rPr>
          <w:rFonts w:ascii="Arial" w:hAnsi="Arial" w:cs="Arial"/>
          <w:i/>
        </w:rPr>
        <w:t>akefield</w:t>
      </w:r>
      <w:r w:rsidRPr="002B4D22">
        <w:rPr>
          <w:rFonts w:ascii="Arial" w:hAnsi="Arial" w:cs="Arial"/>
          <w:i/>
        </w:rPr>
        <w:t>’s Main Streets Across the World report</w:t>
      </w:r>
      <w:r>
        <w:rPr>
          <w:rFonts w:ascii="Arial" w:hAnsi="Arial" w:cs="Arial"/>
          <w:i/>
        </w:rPr>
        <w:t xml:space="preserve"> for 2014/2015</w:t>
      </w:r>
    </w:p>
    <w:p w:rsidR="00BA22BA" w:rsidRDefault="00BA22BA">
      <w:pPr>
        <w:jc w:val="center"/>
        <w:rPr>
          <w:rFonts w:ascii="Arial Bold" w:hAnsi="Arial Bold"/>
        </w:rPr>
      </w:pPr>
    </w:p>
    <w:p w:rsidR="00F960CD" w:rsidRPr="00F960CD" w:rsidRDefault="003B3419" w:rsidP="00F960CD">
      <w:pPr>
        <w:pStyle w:val="Akapitzlist"/>
        <w:numPr>
          <w:ilvl w:val="0"/>
          <w:numId w:val="1"/>
        </w:numPr>
        <w:tabs>
          <w:tab w:val="clear" w:pos="360"/>
          <w:tab w:val="num" w:pos="390"/>
        </w:tabs>
        <w:ind w:left="390" w:hanging="360"/>
        <w:rPr>
          <w:rFonts w:ascii="Arial" w:hAnsi="Arial"/>
          <w:color w:val="FF0000"/>
          <w:sz w:val="18"/>
        </w:rPr>
      </w:pPr>
      <w:r>
        <w:rPr>
          <w:rFonts w:ascii="Arial" w:hAnsi="Arial"/>
          <w:color w:val="auto"/>
          <w:sz w:val="18"/>
        </w:rPr>
        <w:t xml:space="preserve">New York’s </w:t>
      </w:r>
      <w:r w:rsidRPr="00577B5B">
        <w:rPr>
          <w:rFonts w:ascii="Arial" w:hAnsi="Arial"/>
          <w:color w:val="auto"/>
          <w:sz w:val="18"/>
        </w:rPr>
        <w:t xml:space="preserve">Upper </w:t>
      </w:r>
      <w:r>
        <w:rPr>
          <w:rFonts w:ascii="Arial" w:hAnsi="Arial"/>
          <w:color w:val="auto"/>
          <w:sz w:val="18"/>
        </w:rPr>
        <w:t>Fifth Avenue – where re</w:t>
      </w:r>
      <w:r w:rsidR="00C75866">
        <w:rPr>
          <w:rFonts w:ascii="Arial" w:hAnsi="Arial"/>
          <w:color w:val="auto"/>
          <w:sz w:val="18"/>
        </w:rPr>
        <w:t xml:space="preserve">nts reached a record $3,500 per </w:t>
      </w:r>
      <w:proofErr w:type="spellStart"/>
      <w:r w:rsidR="00C75866">
        <w:rPr>
          <w:rFonts w:ascii="Arial" w:hAnsi="Arial"/>
          <w:color w:val="auto"/>
          <w:sz w:val="18"/>
        </w:rPr>
        <w:t>sq</w:t>
      </w:r>
      <w:proofErr w:type="spellEnd"/>
      <w:r w:rsidR="00C75866">
        <w:rPr>
          <w:rFonts w:ascii="Arial" w:hAnsi="Arial"/>
          <w:color w:val="auto"/>
          <w:sz w:val="18"/>
        </w:rPr>
        <w:t xml:space="preserve"> </w:t>
      </w:r>
      <w:proofErr w:type="spellStart"/>
      <w:r w:rsidR="00C75866">
        <w:rPr>
          <w:rFonts w:ascii="Arial" w:hAnsi="Arial"/>
          <w:color w:val="auto"/>
          <w:sz w:val="18"/>
        </w:rPr>
        <w:t>ft</w:t>
      </w:r>
      <w:proofErr w:type="spellEnd"/>
      <w:r w:rsidR="00C75866">
        <w:rPr>
          <w:rFonts w:ascii="Arial" w:hAnsi="Arial"/>
          <w:color w:val="auto"/>
          <w:sz w:val="18"/>
        </w:rPr>
        <w:t xml:space="preserve"> per year – </w:t>
      </w:r>
      <w:r w:rsidRPr="00C75866">
        <w:rPr>
          <w:rFonts w:ascii="Arial" w:hAnsi="Arial"/>
          <w:color w:val="auto"/>
          <w:sz w:val="18"/>
        </w:rPr>
        <w:t>is the world’s costliest retail destination</w:t>
      </w:r>
      <w:r w:rsidR="006314B4">
        <w:rPr>
          <w:rFonts w:ascii="Arial" w:hAnsi="Arial"/>
          <w:color w:val="auto"/>
          <w:sz w:val="18"/>
        </w:rPr>
        <w:t>, with Hong Kong’s Causeway Bay seeing a 6.8% fall in rents and edging down into second spot</w:t>
      </w:r>
    </w:p>
    <w:p w:rsidR="00247E21" w:rsidRPr="00984FFC" w:rsidRDefault="00F40DC7" w:rsidP="00984FFC">
      <w:pPr>
        <w:pStyle w:val="Akapitzlist"/>
        <w:numPr>
          <w:ilvl w:val="0"/>
          <w:numId w:val="1"/>
        </w:numPr>
        <w:tabs>
          <w:tab w:val="clear" w:pos="360"/>
          <w:tab w:val="num" w:pos="390"/>
        </w:tabs>
        <w:ind w:left="390" w:hanging="360"/>
        <w:rPr>
          <w:rFonts w:ascii="Arial" w:hAnsi="Arial"/>
          <w:color w:val="FF0000"/>
          <w:sz w:val="18"/>
        </w:rPr>
      </w:pPr>
      <w:r>
        <w:rPr>
          <w:rFonts w:ascii="Arial" w:hAnsi="Arial"/>
          <w:color w:val="auto"/>
          <w:sz w:val="18"/>
        </w:rPr>
        <w:t>Paris saw 6</w:t>
      </w:r>
      <w:r w:rsidR="00510715">
        <w:rPr>
          <w:rFonts w:ascii="Arial" w:hAnsi="Arial"/>
          <w:color w:val="auto"/>
          <w:sz w:val="18"/>
        </w:rPr>
        <w:t xml:space="preserve">% </w:t>
      </w:r>
      <w:r w:rsidR="00BB4C02">
        <w:rPr>
          <w:rFonts w:ascii="Arial" w:hAnsi="Arial"/>
          <w:color w:val="auto"/>
          <w:sz w:val="18"/>
        </w:rPr>
        <w:t xml:space="preserve">overall growth </w:t>
      </w:r>
      <w:r w:rsidR="00510715">
        <w:rPr>
          <w:rFonts w:ascii="Arial" w:hAnsi="Arial"/>
          <w:color w:val="auto"/>
          <w:sz w:val="18"/>
        </w:rPr>
        <w:t xml:space="preserve">but there was no </w:t>
      </w:r>
      <w:r w:rsidR="00F960CD" w:rsidRPr="00931D6B">
        <w:rPr>
          <w:rFonts w:ascii="Arial" w:hAnsi="Arial"/>
          <w:color w:val="auto"/>
          <w:sz w:val="18"/>
        </w:rPr>
        <w:t>change to</w:t>
      </w:r>
      <w:r w:rsidR="00931D6B" w:rsidRPr="00931D6B">
        <w:rPr>
          <w:rFonts w:ascii="Arial" w:hAnsi="Arial"/>
          <w:color w:val="auto"/>
          <w:sz w:val="18"/>
        </w:rPr>
        <w:t xml:space="preserve"> rental values</w:t>
      </w:r>
      <w:r w:rsidR="00984FFC">
        <w:rPr>
          <w:rFonts w:ascii="Arial" w:hAnsi="Arial"/>
          <w:color w:val="auto"/>
          <w:sz w:val="18"/>
        </w:rPr>
        <w:t xml:space="preserve"> in the </w:t>
      </w:r>
      <w:r w:rsidR="00984FFC" w:rsidRPr="00931D6B">
        <w:rPr>
          <w:rFonts w:ascii="Arial" w:hAnsi="Arial"/>
          <w:color w:val="auto"/>
          <w:sz w:val="18"/>
        </w:rPr>
        <w:t>Champs-Élysées</w:t>
      </w:r>
      <w:r w:rsidR="00984FFC">
        <w:rPr>
          <w:rFonts w:ascii="Arial" w:hAnsi="Arial"/>
          <w:color w:val="auto"/>
          <w:sz w:val="18"/>
        </w:rPr>
        <w:t xml:space="preserve"> </w:t>
      </w:r>
      <w:r w:rsidR="00931D6B" w:rsidRPr="00984FFC">
        <w:rPr>
          <w:rFonts w:ascii="Arial" w:hAnsi="Arial"/>
          <w:color w:val="auto"/>
          <w:sz w:val="18"/>
        </w:rPr>
        <w:t>after a 40% rise</w:t>
      </w:r>
      <w:r w:rsidR="00F960CD" w:rsidRPr="00984FFC">
        <w:rPr>
          <w:rFonts w:ascii="Arial" w:hAnsi="Arial"/>
          <w:color w:val="auto"/>
          <w:sz w:val="18"/>
        </w:rPr>
        <w:t xml:space="preserve"> last year</w:t>
      </w:r>
      <w:r w:rsidR="00B862DA">
        <w:rPr>
          <w:rFonts w:ascii="Arial" w:hAnsi="Arial"/>
          <w:color w:val="auto"/>
          <w:sz w:val="18"/>
        </w:rPr>
        <w:t xml:space="preserve"> – the street ranks third</w:t>
      </w:r>
      <w:r w:rsidR="002737ED">
        <w:rPr>
          <w:rFonts w:ascii="Arial" w:hAnsi="Arial"/>
          <w:color w:val="auto"/>
          <w:sz w:val="18"/>
        </w:rPr>
        <w:t xml:space="preserve"> on this occasion</w:t>
      </w:r>
    </w:p>
    <w:p w:rsidR="005F5E79" w:rsidRPr="005F5E79" w:rsidRDefault="00931D6B" w:rsidP="005F5E79">
      <w:pPr>
        <w:pStyle w:val="Akapitzlist"/>
        <w:numPr>
          <w:ilvl w:val="0"/>
          <w:numId w:val="1"/>
        </w:numPr>
        <w:tabs>
          <w:tab w:val="clear" w:pos="360"/>
          <w:tab w:val="num" w:pos="390"/>
        </w:tabs>
        <w:ind w:left="390" w:hanging="360"/>
        <w:rPr>
          <w:rFonts w:ascii="Arial" w:hAnsi="Arial"/>
          <w:color w:val="FF0000"/>
          <w:sz w:val="18"/>
        </w:rPr>
      </w:pPr>
      <w:r w:rsidRPr="00931D6B">
        <w:rPr>
          <w:rFonts w:ascii="Arial" w:hAnsi="Arial"/>
          <w:color w:val="auto"/>
          <w:sz w:val="18"/>
        </w:rPr>
        <w:t>Lon</w:t>
      </w:r>
      <w:r w:rsidR="006B2B3C">
        <w:rPr>
          <w:rFonts w:ascii="Arial" w:hAnsi="Arial"/>
          <w:color w:val="auto"/>
          <w:sz w:val="18"/>
        </w:rPr>
        <w:t xml:space="preserve">don’s New Bond Street retains </w:t>
      </w:r>
      <w:r w:rsidR="00F11556">
        <w:rPr>
          <w:rFonts w:ascii="Arial" w:hAnsi="Arial"/>
          <w:color w:val="auto"/>
          <w:sz w:val="18"/>
        </w:rPr>
        <w:t xml:space="preserve">fourth </w:t>
      </w:r>
      <w:r w:rsidR="006B2B3C">
        <w:rPr>
          <w:rFonts w:ascii="Arial" w:hAnsi="Arial"/>
          <w:color w:val="auto"/>
          <w:sz w:val="18"/>
        </w:rPr>
        <w:t xml:space="preserve">position </w:t>
      </w:r>
      <w:r w:rsidR="00F11556">
        <w:rPr>
          <w:rFonts w:ascii="Arial" w:hAnsi="Arial"/>
          <w:color w:val="auto"/>
          <w:sz w:val="18"/>
        </w:rPr>
        <w:t>where rents rose by 4.2%</w:t>
      </w:r>
    </w:p>
    <w:p w:rsidR="00931D6B" w:rsidRPr="005F5E79" w:rsidRDefault="005F5E79" w:rsidP="005F5E79">
      <w:pPr>
        <w:pStyle w:val="Akapitzlist"/>
        <w:numPr>
          <w:ilvl w:val="0"/>
          <w:numId w:val="1"/>
        </w:numPr>
        <w:tabs>
          <w:tab w:val="clear" w:pos="360"/>
          <w:tab w:val="num" w:pos="390"/>
        </w:tabs>
        <w:ind w:left="390" w:hanging="360"/>
        <w:rPr>
          <w:rFonts w:ascii="Arial" w:hAnsi="Arial"/>
          <w:color w:val="auto"/>
          <w:sz w:val="18"/>
        </w:rPr>
      </w:pPr>
      <w:r w:rsidRPr="005F5E79">
        <w:rPr>
          <w:rFonts w:ascii="Arial" w:hAnsi="Arial"/>
          <w:color w:val="auto"/>
          <w:sz w:val="18"/>
        </w:rPr>
        <w:t xml:space="preserve">Pitt </w:t>
      </w:r>
      <w:r>
        <w:rPr>
          <w:rFonts w:ascii="Arial" w:hAnsi="Arial"/>
          <w:color w:val="auto"/>
          <w:sz w:val="18"/>
        </w:rPr>
        <w:t xml:space="preserve">Street Mall in Sydney completes </w:t>
      </w:r>
      <w:r w:rsidRPr="005F5E79">
        <w:rPr>
          <w:rFonts w:ascii="Arial" w:hAnsi="Arial"/>
          <w:color w:val="auto"/>
          <w:sz w:val="18"/>
        </w:rPr>
        <w:t>the top five, with the location surging up three places as it recorded an increase of 25%</w:t>
      </w:r>
    </w:p>
    <w:p w:rsidR="00021854" w:rsidRPr="00021854" w:rsidRDefault="008A6AD7" w:rsidP="00021854">
      <w:pPr>
        <w:pStyle w:val="Akapitzlist"/>
        <w:numPr>
          <w:ilvl w:val="0"/>
          <w:numId w:val="1"/>
        </w:numPr>
        <w:tabs>
          <w:tab w:val="clear" w:pos="360"/>
          <w:tab w:val="num" w:pos="390"/>
        </w:tabs>
        <w:ind w:left="390" w:hanging="360"/>
        <w:rPr>
          <w:rFonts w:ascii="Arial" w:hAnsi="Arial"/>
          <w:color w:val="FF0000"/>
          <w:sz w:val="18"/>
        </w:rPr>
      </w:pPr>
      <w:r>
        <w:rPr>
          <w:rFonts w:ascii="Arial" w:hAnsi="Arial"/>
          <w:color w:val="auto"/>
          <w:sz w:val="18"/>
        </w:rPr>
        <w:t>Prime retail re</w:t>
      </w:r>
      <w:r w:rsidR="004C1336">
        <w:rPr>
          <w:rFonts w:ascii="Arial" w:hAnsi="Arial"/>
          <w:color w:val="auto"/>
          <w:sz w:val="18"/>
        </w:rPr>
        <w:t>nts across the globe rose by 2.4</w:t>
      </w:r>
      <w:r>
        <w:rPr>
          <w:rFonts w:ascii="Arial" w:hAnsi="Arial"/>
          <w:color w:val="auto"/>
          <w:sz w:val="18"/>
        </w:rPr>
        <w:t>% in the 12 months to September 2014</w:t>
      </w:r>
    </w:p>
    <w:p w:rsidR="00180EF6" w:rsidRPr="00021854" w:rsidRDefault="00180EF6" w:rsidP="00021854">
      <w:pPr>
        <w:pStyle w:val="Akapitzlist"/>
        <w:numPr>
          <w:ilvl w:val="0"/>
          <w:numId w:val="1"/>
        </w:numPr>
        <w:tabs>
          <w:tab w:val="clear" w:pos="360"/>
          <w:tab w:val="num" w:pos="390"/>
        </w:tabs>
        <w:ind w:left="390" w:hanging="360"/>
        <w:rPr>
          <w:rFonts w:ascii="Arial" w:hAnsi="Arial"/>
          <w:color w:val="auto"/>
          <w:sz w:val="18"/>
        </w:rPr>
      </w:pPr>
      <w:r w:rsidRPr="00021854">
        <w:rPr>
          <w:rFonts w:ascii="Arial" w:hAnsi="Arial"/>
          <w:color w:val="auto"/>
          <w:sz w:val="18"/>
        </w:rPr>
        <w:t>The Americas showed the strongest regional growth with prime rents increasing by 5.8%</w:t>
      </w:r>
      <w:r w:rsidR="002C7188">
        <w:rPr>
          <w:rFonts w:ascii="Arial" w:hAnsi="Arial"/>
          <w:color w:val="auto"/>
          <w:sz w:val="18"/>
        </w:rPr>
        <w:t xml:space="preserve">, the </w:t>
      </w:r>
      <w:r w:rsidR="0036043D">
        <w:rPr>
          <w:rFonts w:ascii="Arial" w:hAnsi="Arial"/>
          <w:color w:val="auto"/>
          <w:sz w:val="18"/>
        </w:rPr>
        <w:t>same figure as last year</w:t>
      </w:r>
      <w:r w:rsidR="003F464A">
        <w:rPr>
          <w:rFonts w:ascii="Arial" w:hAnsi="Arial"/>
          <w:color w:val="auto"/>
          <w:sz w:val="18"/>
        </w:rPr>
        <w:t xml:space="preserve">, while EMEA saw a modest 1.3% rise and Asia Pacific witnessed </w:t>
      </w:r>
      <w:r w:rsidR="002B4C6C">
        <w:rPr>
          <w:rFonts w:ascii="Arial" w:hAnsi="Arial"/>
          <w:color w:val="auto"/>
          <w:sz w:val="18"/>
        </w:rPr>
        <w:t xml:space="preserve">a 3.6% </w:t>
      </w:r>
      <w:r w:rsidR="003F464A">
        <w:rPr>
          <w:rFonts w:ascii="Arial" w:hAnsi="Arial"/>
          <w:color w:val="auto"/>
          <w:sz w:val="18"/>
        </w:rPr>
        <w:t xml:space="preserve">uplift </w:t>
      </w:r>
    </w:p>
    <w:p w:rsidR="00180EF6" w:rsidRPr="00F96A5C" w:rsidRDefault="001F0A82" w:rsidP="00151F12">
      <w:pPr>
        <w:autoSpaceDE w:val="0"/>
        <w:autoSpaceDN w:val="0"/>
        <w:adjustRightInd w:val="0"/>
        <w:rPr>
          <w:rFonts w:ascii="Arial" w:hAnsi="Arial" w:cs="Arial"/>
          <w:szCs w:val="20"/>
        </w:rPr>
      </w:pPr>
      <w:r w:rsidRPr="00F96A5C">
        <w:rPr>
          <w:rFonts w:ascii="Arial" w:hAnsi="Arial" w:cs="Arial"/>
          <w:szCs w:val="20"/>
        </w:rPr>
        <w:t>CANNES, FRANCE – 19 November 2014 –</w:t>
      </w:r>
      <w:r w:rsidR="009D1E31" w:rsidRPr="00F96A5C">
        <w:rPr>
          <w:rFonts w:ascii="Arial" w:hAnsi="Arial" w:cs="Arial"/>
          <w:b/>
          <w:szCs w:val="20"/>
        </w:rPr>
        <w:t xml:space="preserve"> </w:t>
      </w:r>
      <w:r w:rsidR="009D1E31" w:rsidRPr="00F96A5C">
        <w:rPr>
          <w:rFonts w:ascii="Arial" w:hAnsi="Arial" w:cs="Arial"/>
          <w:szCs w:val="20"/>
        </w:rPr>
        <w:t xml:space="preserve">New </w:t>
      </w:r>
      <w:r w:rsidR="009D1E31" w:rsidRPr="00F978C0">
        <w:rPr>
          <w:rFonts w:ascii="Arial" w:hAnsi="Arial" w:cs="Arial"/>
          <w:color w:val="auto"/>
          <w:szCs w:val="20"/>
        </w:rPr>
        <w:t xml:space="preserve">York’s Upper </w:t>
      </w:r>
      <w:r w:rsidR="006A234C" w:rsidRPr="00F96A5C">
        <w:rPr>
          <w:rFonts w:ascii="Arial" w:hAnsi="Arial" w:cs="Arial"/>
          <w:szCs w:val="20"/>
        </w:rPr>
        <w:t xml:space="preserve">Fifth Avenue has overtaken </w:t>
      </w:r>
      <w:r w:rsidR="0084452A" w:rsidRPr="00F96A5C">
        <w:rPr>
          <w:rFonts w:ascii="Arial" w:hAnsi="Arial" w:cs="Arial"/>
          <w:szCs w:val="20"/>
        </w:rPr>
        <w:t>Hong Kong’s Causeway Bay as the world’s most expensive shopping destination, according to global real estate adviser Cushman &amp; Wakefield’s flagship retail research report</w:t>
      </w:r>
      <w:bookmarkStart w:id="0" w:name="_GoBack"/>
      <w:bookmarkEnd w:id="0"/>
      <w:r w:rsidR="0084452A" w:rsidRPr="00F96A5C">
        <w:rPr>
          <w:rFonts w:ascii="Arial" w:hAnsi="Arial" w:cs="Arial"/>
          <w:szCs w:val="20"/>
        </w:rPr>
        <w:t xml:space="preserve">, published today at the MAPIC </w:t>
      </w:r>
      <w:r w:rsidR="003154F3">
        <w:rPr>
          <w:rFonts w:ascii="Arial" w:hAnsi="Arial" w:cs="Arial"/>
          <w:szCs w:val="20"/>
        </w:rPr>
        <w:t xml:space="preserve">retail </w:t>
      </w:r>
      <w:r w:rsidR="0084452A" w:rsidRPr="00F96A5C">
        <w:rPr>
          <w:rFonts w:ascii="Arial" w:hAnsi="Arial" w:cs="Arial"/>
          <w:szCs w:val="20"/>
        </w:rPr>
        <w:t>trade show in Cannes, France.</w:t>
      </w:r>
    </w:p>
    <w:p w:rsidR="00436B6D" w:rsidRPr="00F96A5C" w:rsidRDefault="00436B6D" w:rsidP="00151F12">
      <w:pPr>
        <w:autoSpaceDE w:val="0"/>
        <w:autoSpaceDN w:val="0"/>
        <w:adjustRightInd w:val="0"/>
        <w:rPr>
          <w:rFonts w:ascii="Arial" w:hAnsi="Arial" w:cs="Arial"/>
          <w:szCs w:val="20"/>
        </w:rPr>
      </w:pPr>
    </w:p>
    <w:p w:rsidR="00956DDE" w:rsidRPr="00F96A5C" w:rsidRDefault="009A62F0" w:rsidP="009A62F0">
      <w:pPr>
        <w:autoSpaceDE w:val="0"/>
        <w:autoSpaceDN w:val="0"/>
        <w:adjustRightInd w:val="0"/>
        <w:rPr>
          <w:rFonts w:ascii="Arial" w:hAnsi="Arial" w:cs="Arial"/>
          <w:color w:val="auto"/>
          <w:szCs w:val="20"/>
        </w:rPr>
      </w:pPr>
      <w:r w:rsidRPr="00F96A5C">
        <w:rPr>
          <w:rFonts w:ascii="Arial" w:hAnsi="Arial" w:cs="Arial"/>
          <w:color w:val="auto"/>
          <w:szCs w:val="20"/>
        </w:rPr>
        <w:t xml:space="preserve">The report is widely recognised as the </w:t>
      </w:r>
      <w:r w:rsidR="00956DDE" w:rsidRPr="00F96A5C">
        <w:rPr>
          <w:rFonts w:ascii="Arial" w:hAnsi="Arial" w:cs="Arial"/>
          <w:color w:val="auto"/>
          <w:szCs w:val="20"/>
        </w:rPr>
        <w:t xml:space="preserve">barometer for the global retail market and ranks the most expensive locations in the top </w:t>
      </w:r>
      <w:r w:rsidR="008E15C4" w:rsidRPr="00F96A5C">
        <w:rPr>
          <w:rFonts w:ascii="Arial" w:hAnsi="Arial" w:cs="Arial"/>
          <w:color w:val="auto"/>
          <w:szCs w:val="20"/>
        </w:rPr>
        <w:t>330</w:t>
      </w:r>
      <w:r w:rsidR="00956DDE" w:rsidRPr="00F96A5C">
        <w:rPr>
          <w:rFonts w:ascii="Arial" w:hAnsi="Arial" w:cs="Arial"/>
          <w:color w:val="auto"/>
          <w:szCs w:val="20"/>
        </w:rPr>
        <w:t xml:space="preserve"> shopping destinations across </w:t>
      </w:r>
      <w:r w:rsidR="00E15792" w:rsidRPr="00F96A5C">
        <w:rPr>
          <w:rFonts w:ascii="Arial" w:hAnsi="Arial" w:cs="Arial"/>
          <w:color w:val="auto"/>
          <w:szCs w:val="20"/>
        </w:rPr>
        <w:t>65</w:t>
      </w:r>
      <w:r w:rsidR="00956DDE" w:rsidRPr="00F96A5C">
        <w:rPr>
          <w:rFonts w:ascii="Arial" w:hAnsi="Arial" w:cs="Arial"/>
          <w:color w:val="auto"/>
          <w:szCs w:val="20"/>
        </w:rPr>
        <w:t xml:space="preserve"> countries.  </w:t>
      </w:r>
    </w:p>
    <w:p w:rsidR="009A62F0" w:rsidRPr="00F96A5C" w:rsidRDefault="009A62F0" w:rsidP="009A62F0">
      <w:pPr>
        <w:autoSpaceDE w:val="0"/>
        <w:autoSpaceDN w:val="0"/>
        <w:adjustRightInd w:val="0"/>
        <w:rPr>
          <w:rFonts w:ascii="Arial" w:hAnsi="Arial" w:cs="Arial"/>
          <w:szCs w:val="20"/>
        </w:rPr>
      </w:pPr>
    </w:p>
    <w:p w:rsidR="00F96A5C" w:rsidRPr="00F96A5C" w:rsidRDefault="00956DDE" w:rsidP="00F96A5C">
      <w:pPr>
        <w:pStyle w:val="Akapitzlist"/>
        <w:ind w:left="0"/>
        <w:rPr>
          <w:rFonts w:ascii="Arial" w:hAnsi="Arial" w:cs="Arial"/>
          <w:color w:val="auto"/>
          <w:sz w:val="20"/>
        </w:rPr>
      </w:pPr>
      <w:r w:rsidRPr="00F96A5C">
        <w:rPr>
          <w:rFonts w:ascii="Arial" w:hAnsi="Arial" w:cs="Arial"/>
          <w:color w:val="auto"/>
          <w:sz w:val="20"/>
        </w:rPr>
        <w:t>Cushman &amp; Wakefield is at the centre of global retail and monitors and analyses the evolution of the industry and global retail trends to ensure its clients are best positioned to capitalise on fut</w:t>
      </w:r>
      <w:r w:rsidR="00F96A5C" w:rsidRPr="00F96A5C">
        <w:rPr>
          <w:rFonts w:ascii="Arial" w:hAnsi="Arial" w:cs="Arial"/>
          <w:color w:val="auto"/>
          <w:sz w:val="20"/>
        </w:rPr>
        <w:t>ure developments in the sector.</w:t>
      </w:r>
    </w:p>
    <w:p w:rsidR="00205859" w:rsidRPr="003A712B" w:rsidRDefault="004C1336" w:rsidP="003A712B">
      <w:pPr>
        <w:pStyle w:val="Akapitzlist"/>
        <w:ind w:left="0"/>
        <w:rPr>
          <w:rFonts w:ascii="Arial" w:hAnsi="Arial" w:cs="Arial"/>
          <w:sz w:val="20"/>
        </w:rPr>
      </w:pPr>
      <w:r w:rsidRPr="00F96A5C">
        <w:rPr>
          <w:rFonts w:ascii="Arial" w:hAnsi="Arial" w:cs="Arial"/>
          <w:sz w:val="20"/>
        </w:rPr>
        <w:t xml:space="preserve">Prime retail rents across the globe rose by an </w:t>
      </w:r>
      <w:r w:rsidRPr="008171BA">
        <w:rPr>
          <w:rFonts w:ascii="Arial" w:hAnsi="Arial" w:cs="Arial"/>
          <w:sz w:val="20"/>
        </w:rPr>
        <w:t>average of 2.4% in</w:t>
      </w:r>
      <w:r w:rsidRPr="00F96A5C">
        <w:rPr>
          <w:rFonts w:ascii="Arial" w:hAnsi="Arial" w:cs="Arial"/>
          <w:sz w:val="20"/>
        </w:rPr>
        <w:t xml:space="preserve"> the 12 months to September 2014, with recovery being sustained but at an overall slower </w:t>
      </w:r>
      <w:r w:rsidR="009F3571">
        <w:rPr>
          <w:rFonts w:ascii="Arial" w:hAnsi="Arial" w:cs="Arial"/>
          <w:sz w:val="20"/>
        </w:rPr>
        <w:t xml:space="preserve">rate.  </w:t>
      </w:r>
      <w:r w:rsidR="003A712B" w:rsidRPr="003A712B">
        <w:rPr>
          <w:rFonts w:ascii="Arial" w:hAnsi="Arial" w:cs="Arial"/>
          <w:sz w:val="20"/>
        </w:rPr>
        <w:t>Volatile and somewhat subdued economic activity affected some markets, while structural changes impacting on others. However, despite a more constrained rental growth rate, 277 of the 330 locations surveyed were either static or increased</w:t>
      </w:r>
      <w:r w:rsidR="00D3459E">
        <w:rPr>
          <w:rFonts w:ascii="Arial" w:hAnsi="Arial" w:cs="Arial"/>
          <w:sz w:val="20"/>
        </w:rPr>
        <w:t xml:space="preserve"> over the year.</w:t>
      </w:r>
    </w:p>
    <w:p w:rsidR="00B64863" w:rsidRDefault="000946B4" w:rsidP="00B64863">
      <w:pPr>
        <w:pStyle w:val="Akapitzlist"/>
        <w:ind w:left="0"/>
        <w:rPr>
          <w:rFonts w:ascii="Arial" w:hAnsi="Arial" w:cs="Arial"/>
          <w:sz w:val="20"/>
        </w:rPr>
      </w:pPr>
      <w:r>
        <w:rPr>
          <w:rFonts w:ascii="Arial" w:hAnsi="Arial" w:cs="Arial"/>
          <w:sz w:val="20"/>
        </w:rPr>
        <w:t xml:space="preserve">The ranking of the most expensive retail locations in each country recorded notable movements this year.  Rents in New </w:t>
      </w:r>
      <w:r w:rsidRPr="003B0A2D">
        <w:rPr>
          <w:rFonts w:ascii="Arial" w:hAnsi="Arial" w:cs="Arial"/>
          <w:sz w:val="20"/>
        </w:rPr>
        <w:t xml:space="preserve">York’s </w:t>
      </w:r>
      <w:r w:rsidR="00370C2D" w:rsidRPr="003B0A2D">
        <w:rPr>
          <w:rFonts w:ascii="Arial" w:hAnsi="Arial" w:cs="Arial"/>
          <w:color w:val="auto"/>
          <w:sz w:val="20"/>
        </w:rPr>
        <w:t xml:space="preserve">Upper Fifth </w:t>
      </w:r>
      <w:r w:rsidR="00370C2D">
        <w:rPr>
          <w:rFonts w:ascii="Arial" w:hAnsi="Arial" w:cs="Arial"/>
          <w:sz w:val="20"/>
        </w:rPr>
        <w:t xml:space="preserve">Avenue hit a record $3,500 per </w:t>
      </w:r>
      <w:proofErr w:type="spellStart"/>
      <w:r w:rsidR="00370C2D">
        <w:rPr>
          <w:rFonts w:ascii="Arial" w:hAnsi="Arial" w:cs="Arial"/>
          <w:sz w:val="20"/>
        </w:rPr>
        <w:t>sq</w:t>
      </w:r>
      <w:proofErr w:type="spellEnd"/>
      <w:r w:rsidR="00370C2D">
        <w:rPr>
          <w:rFonts w:ascii="Arial" w:hAnsi="Arial" w:cs="Arial"/>
          <w:sz w:val="20"/>
        </w:rPr>
        <w:t xml:space="preserve"> </w:t>
      </w:r>
      <w:proofErr w:type="spellStart"/>
      <w:r w:rsidR="00370C2D">
        <w:rPr>
          <w:rFonts w:ascii="Arial" w:hAnsi="Arial" w:cs="Arial"/>
          <w:sz w:val="20"/>
        </w:rPr>
        <w:t>ft</w:t>
      </w:r>
      <w:proofErr w:type="spellEnd"/>
      <w:r w:rsidR="00370C2D">
        <w:rPr>
          <w:rFonts w:ascii="Arial" w:hAnsi="Arial" w:cs="Arial"/>
          <w:sz w:val="20"/>
        </w:rPr>
        <w:t xml:space="preserve"> per year as it leapfrogged Causeway Bay, which saw rents fall by 6.8%, to secure top spot.  </w:t>
      </w:r>
    </w:p>
    <w:p w:rsidR="00205859" w:rsidRDefault="00205859" w:rsidP="00B64863">
      <w:pPr>
        <w:pStyle w:val="Akapitzlist"/>
        <w:ind w:left="0"/>
        <w:rPr>
          <w:rFonts w:ascii="Arial" w:hAnsi="Arial" w:cs="Arial"/>
          <w:i/>
          <w:sz w:val="20"/>
        </w:rPr>
      </w:pPr>
      <w:r w:rsidRPr="003A712B">
        <w:rPr>
          <w:rFonts w:ascii="Arial" w:hAnsi="Arial" w:cs="Arial"/>
          <w:b/>
          <w:sz w:val="20"/>
        </w:rPr>
        <w:t>Cushman &amp; Wakefield’s global head of retail John Strachan</w:t>
      </w:r>
      <w:r w:rsidRPr="003A712B">
        <w:rPr>
          <w:rFonts w:ascii="Arial" w:hAnsi="Arial" w:cs="Arial"/>
          <w:sz w:val="20"/>
        </w:rPr>
        <w:t xml:space="preserve"> said: </w:t>
      </w:r>
      <w:r w:rsidRPr="003A712B">
        <w:rPr>
          <w:rFonts w:ascii="Arial" w:hAnsi="Arial" w:cs="Arial"/>
          <w:i/>
          <w:sz w:val="20"/>
        </w:rPr>
        <w:t>“New York is once again the most expensive shopping destination in the world and for the first time since 2011</w:t>
      </w:r>
      <w:r w:rsidR="00A10752">
        <w:rPr>
          <w:rFonts w:ascii="Arial" w:hAnsi="Arial" w:cs="Arial"/>
          <w:i/>
          <w:sz w:val="20"/>
        </w:rPr>
        <w:t xml:space="preserve"> – Upper </w:t>
      </w:r>
      <w:r>
        <w:rPr>
          <w:rFonts w:ascii="Arial" w:hAnsi="Arial" w:cs="Arial"/>
          <w:i/>
          <w:sz w:val="20"/>
        </w:rPr>
        <w:t>Fifth Avenue also set a new record for the highest retail rents ever recorded</w:t>
      </w:r>
      <w:r w:rsidRPr="003A712B">
        <w:rPr>
          <w:rFonts w:ascii="Arial" w:hAnsi="Arial" w:cs="Arial"/>
          <w:i/>
          <w:sz w:val="20"/>
        </w:rPr>
        <w:t xml:space="preserve">.  </w:t>
      </w:r>
      <w:r w:rsidR="00C37928">
        <w:rPr>
          <w:rFonts w:ascii="Arial" w:hAnsi="Arial" w:cs="Arial"/>
          <w:i/>
          <w:sz w:val="20"/>
        </w:rPr>
        <w:t xml:space="preserve">Global gateway markets continue to surge </w:t>
      </w:r>
      <w:r w:rsidR="00240402">
        <w:rPr>
          <w:rFonts w:ascii="Arial" w:hAnsi="Arial" w:cs="Arial"/>
          <w:i/>
          <w:sz w:val="20"/>
        </w:rPr>
        <w:t xml:space="preserve">ahead </w:t>
      </w:r>
      <w:r w:rsidRPr="003A712B">
        <w:rPr>
          <w:rFonts w:ascii="Arial" w:hAnsi="Arial" w:cs="Arial"/>
          <w:i/>
          <w:sz w:val="20"/>
        </w:rPr>
        <w:t>as major brands battle for premier addr</w:t>
      </w:r>
      <w:r w:rsidR="00EF23F8">
        <w:rPr>
          <w:rFonts w:ascii="Arial" w:hAnsi="Arial" w:cs="Arial"/>
          <w:i/>
          <w:sz w:val="20"/>
        </w:rPr>
        <w:t xml:space="preserve">esses in the top </w:t>
      </w:r>
      <w:r w:rsidR="00D16EFE">
        <w:rPr>
          <w:rFonts w:ascii="Arial" w:hAnsi="Arial" w:cs="Arial"/>
          <w:i/>
          <w:sz w:val="20"/>
        </w:rPr>
        <w:t>cities.”</w:t>
      </w:r>
    </w:p>
    <w:p w:rsidR="000A3CD1" w:rsidRDefault="000A3CD1" w:rsidP="00B64863">
      <w:pPr>
        <w:pStyle w:val="Akapitzlist"/>
        <w:ind w:left="0"/>
        <w:rPr>
          <w:rFonts w:ascii="Arial" w:hAnsi="Arial" w:cs="Arial"/>
          <w:i/>
        </w:rPr>
      </w:pPr>
    </w:p>
    <w:p w:rsidR="00DA4925" w:rsidRDefault="00DA4925" w:rsidP="00205859">
      <w:pPr>
        <w:pStyle w:val="Stopka"/>
        <w:jc w:val="center"/>
        <w:rPr>
          <w:rFonts w:ascii="Arial" w:hAnsi="Arial" w:cs="Arial"/>
          <w:i/>
        </w:rPr>
      </w:pPr>
    </w:p>
    <w:p w:rsidR="00366656" w:rsidRPr="00730B0F" w:rsidRDefault="00205859" w:rsidP="00366656">
      <w:pPr>
        <w:pStyle w:val="Stopka"/>
        <w:jc w:val="center"/>
        <w:rPr>
          <w:rFonts w:ascii="Arial" w:hAnsi="Arial" w:cs="Arial"/>
          <w:i/>
        </w:rPr>
      </w:pPr>
      <w:r w:rsidRPr="00EF6703">
        <w:rPr>
          <w:rFonts w:ascii="Arial" w:hAnsi="Arial" w:cs="Arial"/>
          <w:i/>
        </w:rPr>
        <w:t>(Continued)</w:t>
      </w:r>
    </w:p>
    <w:tbl>
      <w:tblPr>
        <w:tblStyle w:val="Tabela-Siatka"/>
        <w:tblW w:w="8981"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9"/>
        <w:gridCol w:w="851"/>
        <w:gridCol w:w="1275"/>
        <w:gridCol w:w="1134"/>
        <w:gridCol w:w="1701"/>
        <w:gridCol w:w="993"/>
        <w:gridCol w:w="992"/>
        <w:gridCol w:w="1276"/>
      </w:tblGrid>
      <w:tr w:rsidR="00366656" w:rsidRPr="006A7549" w:rsidTr="007476A6">
        <w:tc>
          <w:tcPr>
            <w:tcW w:w="8981" w:type="dxa"/>
            <w:gridSpan w:val="8"/>
            <w:shd w:val="clear" w:color="auto" w:fill="003767"/>
          </w:tcPr>
          <w:p w:rsidR="00366656" w:rsidRPr="006A7549" w:rsidRDefault="00366656" w:rsidP="007476A6">
            <w:pPr>
              <w:keepNext/>
              <w:spacing w:after="40" w:line="240" w:lineRule="exact"/>
              <w:rPr>
                <w:rFonts w:eastAsia="Gill Sans"/>
                <w:caps/>
                <w:color w:val="FF0000"/>
                <w:spacing w:val="10"/>
                <w:szCs w:val="20"/>
              </w:rPr>
            </w:pPr>
            <w:r w:rsidRPr="00133301">
              <w:rPr>
                <w:rFonts w:eastAsia="Gill Sans"/>
                <w:caps/>
                <w:color w:val="FFFFFF" w:themeColor="background1"/>
                <w:spacing w:val="10"/>
                <w:szCs w:val="20"/>
                <w:lang w:val="en-GB"/>
              </w:rPr>
              <w:lastRenderedPageBreak/>
              <w:t>The world’s 10 most expensive retail locations in each country</w:t>
            </w:r>
          </w:p>
        </w:tc>
      </w:tr>
      <w:tr w:rsidR="00366656" w:rsidRPr="006A7549" w:rsidTr="007476A6">
        <w:tc>
          <w:tcPr>
            <w:tcW w:w="759" w:type="dxa"/>
            <w:tcBorders>
              <w:bottom w:val="single" w:sz="2" w:space="0" w:color="4F8ABE"/>
            </w:tcBorders>
            <w:shd w:val="clear" w:color="auto" w:fill="F2F5F7"/>
          </w:tcPr>
          <w:p w:rsidR="00366656" w:rsidRPr="00FF6749" w:rsidRDefault="00366656" w:rsidP="007476A6">
            <w:pPr>
              <w:keepNext/>
              <w:spacing w:after="40"/>
              <w:rPr>
                <w:rFonts w:eastAsia="Times New Roman" w:cs="Arial"/>
                <w:caps/>
                <w:color w:val="auto"/>
                <w:szCs w:val="20"/>
              </w:rPr>
            </w:pPr>
            <w:r w:rsidRPr="00FF6749">
              <w:rPr>
                <w:rFonts w:eastAsia="Times New Roman" w:cs="Arial"/>
                <w:caps/>
                <w:color w:val="auto"/>
                <w:szCs w:val="20"/>
              </w:rPr>
              <w:t>Rank</w:t>
            </w:r>
          </w:p>
          <w:p w:rsidR="00366656" w:rsidRPr="00FF6749" w:rsidRDefault="00366656" w:rsidP="007476A6">
            <w:pPr>
              <w:keepNext/>
              <w:spacing w:after="40"/>
              <w:rPr>
                <w:rFonts w:eastAsia="Times New Roman" w:cs="Arial"/>
                <w:caps/>
                <w:color w:val="auto"/>
                <w:szCs w:val="20"/>
              </w:rPr>
            </w:pPr>
            <w:r w:rsidRPr="00FF6749">
              <w:rPr>
                <w:rFonts w:eastAsia="Times New Roman" w:cs="Arial"/>
                <w:caps/>
                <w:color w:val="auto"/>
                <w:szCs w:val="20"/>
              </w:rPr>
              <w:t>2014</w:t>
            </w:r>
          </w:p>
        </w:tc>
        <w:tc>
          <w:tcPr>
            <w:tcW w:w="851" w:type="dxa"/>
            <w:tcBorders>
              <w:bottom w:val="single" w:sz="2" w:space="0" w:color="4F8ABE"/>
            </w:tcBorders>
            <w:shd w:val="clear" w:color="auto" w:fill="F2F5F7"/>
          </w:tcPr>
          <w:p w:rsidR="00366656" w:rsidRPr="00FF6749" w:rsidRDefault="00366656" w:rsidP="007476A6">
            <w:pPr>
              <w:keepNext/>
              <w:spacing w:after="40"/>
              <w:rPr>
                <w:rFonts w:eastAsia="Times New Roman" w:cs="Arial"/>
                <w:caps/>
                <w:color w:val="auto"/>
                <w:szCs w:val="20"/>
              </w:rPr>
            </w:pPr>
            <w:r w:rsidRPr="00FF6749">
              <w:rPr>
                <w:rFonts w:eastAsia="Times New Roman" w:cs="Arial"/>
                <w:caps/>
                <w:color w:val="auto"/>
                <w:szCs w:val="20"/>
              </w:rPr>
              <w:t xml:space="preserve">rank </w:t>
            </w:r>
          </w:p>
          <w:p w:rsidR="00366656" w:rsidRPr="00FF6749" w:rsidRDefault="00366656" w:rsidP="007476A6">
            <w:pPr>
              <w:keepNext/>
              <w:spacing w:after="40"/>
              <w:rPr>
                <w:rFonts w:eastAsia="Times New Roman" w:cs="Arial"/>
                <w:caps/>
                <w:color w:val="auto"/>
                <w:szCs w:val="20"/>
              </w:rPr>
            </w:pPr>
            <w:r w:rsidRPr="00FF6749">
              <w:rPr>
                <w:rFonts w:eastAsia="Times New Roman" w:cs="Arial"/>
                <w:caps/>
                <w:color w:val="auto"/>
                <w:szCs w:val="20"/>
              </w:rPr>
              <w:t>2013</w:t>
            </w:r>
          </w:p>
        </w:tc>
        <w:tc>
          <w:tcPr>
            <w:tcW w:w="1275" w:type="dxa"/>
            <w:tcBorders>
              <w:bottom w:val="single" w:sz="2" w:space="0" w:color="4F8ABE"/>
            </w:tcBorders>
            <w:shd w:val="clear" w:color="auto" w:fill="F2F5F7"/>
          </w:tcPr>
          <w:p w:rsidR="00366656" w:rsidRPr="00FF6749" w:rsidRDefault="00366656" w:rsidP="007476A6">
            <w:pPr>
              <w:keepNext/>
              <w:spacing w:after="40"/>
              <w:rPr>
                <w:rFonts w:eastAsia="Times New Roman" w:cs="Arial"/>
                <w:caps/>
                <w:color w:val="auto"/>
                <w:szCs w:val="20"/>
              </w:rPr>
            </w:pPr>
            <w:r w:rsidRPr="00FF6749">
              <w:rPr>
                <w:rFonts w:eastAsia="Times New Roman" w:cs="Arial"/>
                <w:caps/>
                <w:color w:val="auto"/>
                <w:szCs w:val="20"/>
              </w:rPr>
              <w:t>country</w:t>
            </w:r>
          </w:p>
        </w:tc>
        <w:tc>
          <w:tcPr>
            <w:tcW w:w="1134" w:type="dxa"/>
            <w:tcBorders>
              <w:bottom w:val="single" w:sz="2" w:space="0" w:color="4F8ABE"/>
            </w:tcBorders>
            <w:shd w:val="clear" w:color="auto" w:fill="F2F5F7"/>
          </w:tcPr>
          <w:p w:rsidR="00366656" w:rsidRPr="00FF6749" w:rsidRDefault="00366656" w:rsidP="007476A6">
            <w:pPr>
              <w:keepNext/>
              <w:spacing w:after="40"/>
              <w:rPr>
                <w:rFonts w:eastAsia="Times New Roman" w:cs="Arial"/>
                <w:caps/>
                <w:color w:val="auto"/>
                <w:szCs w:val="20"/>
              </w:rPr>
            </w:pPr>
            <w:r w:rsidRPr="00FF6749">
              <w:rPr>
                <w:rFonts w:eastAsia="Times New Roman" w:cs="Arial"/>
                <w:caps/>
                <w:color w:val="auto"/>
                <w:szCs w:val="20"/>
              </w:rPr>
              <w:t xml:space="preserve">city </w:t>
            </w:r>
          </w:p>
        </w:tc>
        <w:tc>
          <w:tcPr>
            <w:tcW w:w="1701" w:type="dxa"/>
            <w:tcBorders>
              <w:bottom w:val="single" w:sz="2" w:space="0" w:color="4F8ABE"/>
            </w:tcBorders>
            <w:shd w:val="clear" w:color="auto" w:fill="F2F5F7"/>
          </w:tcPr>
          <w:p w:rsidR="00366656" w:rsidRPr="00FF6749" w:rsidRDefault="00366656" w:rsidP="007476A6">
            <w:pPr>
              <w:keepNext/>
              <w:spacing w:after="40"/>
              <w:rPr>
                <w:rFonts w:eastAsia="Times New Roman" w:cs="Arial"/>
                <w:caps/>
                <w:color w:val="auto"/>
                <w:szCs w:val="20"/>
              </w:rPr>
            </w:pPr>
            <w:r w:rsidRPr="00FF6749">
              <w:rPr>
                <w:rFonts w:eastAsia="Times New Roman" w:cs="Arial"/>
                <w:caps/>
                <w:color w:val="auto"/>
                <w:szCs w:val="20"/>
              </w:rPr>
              <w:t>Location</w:t>
            </w:r>
          </w:p>
        </w:tc>
        <w:tc>
          <w:tcPr>
            <w:tcW w:w="993" w:type="dxa"/>
            <w:tcBorders>
              <w:bottom w:val="single" w:sz="2" w:space="0" w:color="4F8ABE"/>
            </w:tcBorders>
            <w:shd w:val="clear" w:color="auto" w:fill="F2F5F7"/>
          </w:tcPr>
          <w:p w:rsidR="00366656" w:rsidRPr="00FF6749" w:rsidRDefault="00366656" w:rsidP="007476A6">
            <w:pPr>
              <w:keepNext/>
              <w:spacing w:after="40"/>
              <w:jc w:val="right"/>
              <w:rPr>
                <w:rFonts w:eastAsia="Times New Roman" w:cs="Arial"/>
                <w:caps/>
                <w:color w:val="auto"/>
                <w:szCs w:val="20"/>
              </w:rPr>
            </w:pPr>
            <w:r w:rsidRPr="00FF6749">
              <w:rPr>
                <w:rFonts w:ascii="Arial" w:eastAsia="Times New Roman" w:hAnsi="Arial" w:cs="Arial"/>
                <w:caps/>
                <w:color w:val="auto"/>
                <w:szCs w:val="20"/>
              </w:rPr>
              <w:t>€</w:t>
            </w:r>
            <w:r w:rsidRPr="00FF6749">
              <w:rPr>
                <w:rFonts w:eastAsia="Times New Roman" w:cs="Arial"/>
                <w:caps/>
                <w:color w:val="auto"/>
                <w:szCs w:val="20"/>
              </w:rPr>
              <w:t>/sq.M/year</w:t>
            </w:r>
          </w:p>
        </w:tc>
        <w:tc>
          <w:tcPr>
            <w:tcW w:w="992" w:type="dxa"/>
            <w:tcBorders>
              <w:bottom w:val="single" w:sz="2" w:space="0" w:color="4F8ABE"/>
            </w:tcBorders>
            <w:shd w:val="clear" w:color="auto" w:fill="F2F5F7"/>
          </w:tcPr>
          <w:p w:rsidR="00366656" w:rsidRPr="00FF6749" w:rsidRDefault="00366656" w:rsidP="007476A6">
            <w:pPr>
              <w:keepNext/>
              <w:spacing w:after="40"/>
              <w:jc w:val="right"/>
              <w:rPr>
                <w:rFonts w:eastAsia="Times New Roman" w:cs="Arial"/>
                <w:caps/>
                <w:color w:val="auto"/>
                <w:szCs w:val="20"/>
              </w:rPr>
            </w:pPr>
            <w:r w:rsidRPr="00FF6749">
              <w:rPr>
                <w:rFonts w:eastAsia="Times New Roman" w:cs="Arial"/>
                <w:caps/>
                <w:color w:val="auto"/>
                <w:szCs w:val="20"/>
              </w:rPr>
              <w:t>us$/sq. ft/year</w:t>
            </w:r>
          </w:p>
        </w:tc>
        <w:tc>
          <w:tcPr>
            <w:tcW w:w="1276" w:type="dxa"/>
            <w:tcBorders>
              <w:bottom w:val="single" w:sz="2" w:space="0" w:color="4F8ABE"/>
            </w:tcBorders>
            <w:shd w:val="clear" w:color="auto" w:fill="F2F5F7"/>
          </w:tcPr>
          <w:p w:rsidR="00366656" w:rsidRPr="00FF6749" w:rsidRDefault="00366656" w:rsidP="007476A6">
            <w:pPr>
              <w:keepNext/>
              <w:spacing w:after="40"/>
              <w:jc w:val="right"/>
              <w:rPr>
                <w:rFonts w:eastAsia="Times New Roman" w:cs="Arial"/>
                <w:caps/>
                <w:color w:val="auto"/>
                <w:szCs w:val="20"/>
              </w:rPr>
            </w:pPr>
            <w:r w:rsidRPr="00FF6749">
              <w:rPr>
                <w:rFonts w:eastAsia="Times New Roman" w:cs="Arial"/>
                <w:caps/>
                <w:color w:val="auto"/>
                <w:szCs w:val="20"/>
              </w:rPr>
              <w:t xml:space="preserve">% Change </w:t>
            </w:r>
          </w:p>
          <w:p w:rsidR="00366656" w:rsidRPr="00FF6749" w:rsidRDefault="00366656" w:rsidP="007476A6">
            <w:pPr>
              <w:keepNext/>
              <w:spacing w:after="40"/>
              <w:jc w:val="right"/>
              <w:rPr>
                <w:rFonts w:eastAsia="Times New Roman" w:cs="Arial"/>
                <w:caps/>
                <w:color w:val="auto"/>
                <w:szCs w:val="20"/>
              </w:rPr>
            </w:pPr>
            <w:r w:rsidRPr="00FF6749">
              <w:rPr>
                <w:rFonts w:eastAsia="Times New Roman" w:cs="Arial"/>
                <w:caps/>
                <w:color w:val="auto"/>
                <w:szCs w:val="20"/>
              </w:rPr>
              <w:t>in local measure</w:t>
            </w:r>
          </w:p>
        </w:tc>
      </w:tr>
      <w:tr w:rsidR="00366656" w:rsidRPr="006A7549" w:rsidTr="007476A6">
        <w:tc>
          <w:tcPr>
            <w:tcW w:w="759" w:type="dxa"/>
            <w:tcBorders>
              <w:top w:val="single" w:sz="2" w:space="0" w:color="4F8ABE"/>
              <w:bottom w:val="single" w:sz="2" w:space="0" w:color="4F8ABE"/>
            </w:tcBorders>
            <w:shd w:val="clear" w:color="auto" w:fill="F2F5F7"/>
          </w:tcPr>
          <w:p w:rsidR="00366656" w:rsidRPr="00BC5771" w:rsidRDefault="00366656" w:rsidP="007476A6">
            <w:r w:rsidRPr="00BC5771">
              <w:t>1</w:t>
            </w:r>
          </w:p>
        </w:tc>
        <w:tc>
          <w:tcPr>
            <w:tcW w:w="851" w:type="dxa"/>
            <w:tcBorders>
              <w:top w:val="single" w:sz="2" w:space="0" w:color="4F8ABE"/>
              <w:bottom w:val="single" w:sz="2" w:space="0" w:color="4F8ABE"/>
            </w:tcBorders>
            <w:shd w:val="clear" w:color="auto" w:fill="F2F5F7"/>
          </w:tcPr>
          <w:p w:rsidR="00366656" w:rsidRPr="00BC5771" w:rsidRDefault="00366656" w:rsidP="007476A6">
            <w:r w:rsidRPr="00BC5771">
              <w:t>-</w:t>
            </w:r>
            <w:r w:rsidRPr="00BC5771">
              <w:rPr>
                <w:color w:val="FF0000"/>
              </w:rPr>
              <w:t>*</w:t>
            </w:r>
          </w:p>
        </w:tc>
        <w:tc>
          <w:tcPr>
            <w:tcW w:w="1275" w:type="dxa"/>
            <w:tcBorders>
              <w:top w:val="single" w:sz="2" w:space="0" w:color="4F8ABE"/>
              <w:bottom w:val="single" w:sz="2" w:space="0" w:color="4F8ABE"/>
            </w:tcBorders>
            <w:shd w:val="clear" w:color="auto" w:fill="F2F5F7"/>
          </w:tcPr>
          <w:p w:rsidR="00366656" w:rsidRPr="00BC5771" w:rsidRDefault="00366656" w:rsidP="007476A6">
            <w:r w:rsidRPr="00BC5771">
              <w:t>USA</w:t>
            </w:r>
          </w:p>
        </w:tc>
        <w:tc>
          <w:tcPr>
            <w:tcW w:w="1134" w:type="dxa"/>
            <w:tcBorders>
              <w:top w:val="single" w:sz="2" w:space="0" w:color="4F8ABE"/>
              <w:bottom w:val="single" w:sz="2" w:space="0" w:color="4F8ABE"/>
            </w:tcBorders>
            <w:shd w:val="clear" w:color="auto" w:fill="F2F5F7"/>
          </w:tcPr>
          <w:p w:rsidR="00366656" w:rsidRPr="00BC5771" w:rsidRDefault="00366656" w:rsidP="007476A6">
            <w:r w:rsidRPr="00BC5771">
              <w:t>New York</w:t>
            </w:r>
          </w:p>
        </w:tc>
        <w:tc>
          <w:tcPr>
            <w:tcW w:w="1701" w:type="dxa"/>
            <w:tcBorders>
              <w:top w:val="single" w:sz="2" w:space="0" w:color="4F8ABE"/>
              <w:bottom w:val="single" w:sz="2" w:space="0" w:color="4F8ABE"/>
            </w:tcBorders>
            <w:shd w:val="clear" w:color="auto" w:fill="F2F5F7"/>
          </w:tcPr>
          <w:p w:rsidR="00366656" w:rsidRPr="00BC5771" w:rsidRDefault="00366656" w:rsidP="007476A6">
            <w:r w:rsidRPr="00BC5771">
              <w:t>Upper Fifth Avenue</w:t>
            </w:r>
          </w:p>
        </w:tc>
        <w:tc>
          <w:tcPr>
            <w:tcW w:w="993" w:type="dxa"/>
            <w:tcBorders>
              <w:top w:val="single" w:sz="2" w:space="0" w:color="4F8ABE"/>
              <w:bottom w:val="single" w:sz="2" w:space="0" w:color="4F8ABE"/>
            </w:tcBorders>
            <w:shd w:val="clear" w:color="auto" w:fill="F2F5F7"/>
          </w:tcPr>
          <w:p w:rsidR="00366656" w:rsidRPr="00BC5771" w:rsidRDefault="00366656" w:rsidP="007476A6">
            <w:r w:rsidRPr="00BC5771">
              <w:t>29,822</w:t>
            </w:r>
          </w:p>
        </w:tc>
        <w:tc>
          <w:tcPr>
            <w:tcW w:w="992" w:type="dxa"/>
            <w:tcBorders>
              <w:top w:val="single" w:sz="2" w:space="0" w:color="4F8ABE"/>
              <w:bottom w:val="single" w:sz="2" w:space="0" w:color="4F8ABE"/>
            </w:tcBorders>
            <w:shd w:val="clear" w:color="auto" w:fill="F2F5F7"/>
          </w:tcPr>
          <w:p w:rsidR="00366656" w:rsidRPr="00BC5771" w:rsidRDefault="00366656" w:rsidP="007476A6">
            <w:r w:rsidRPr="00BC5771">
              <w:t>3,500</w:t>
            </w:r>
          </w:p>
        </w:tc>
        <w:tc>
          <w:tcPr>
            <w:tcW w:w="1276" w:type="dxa"/>
            <w:tcBorders>
              <w:top w:val="single" w:sz="2" w:space="0" w:color="4F8ABE"/>
              <w:bottom w:val="single" w:sz="2" w:space="0" w:color="4F8ABE"/>
            </w:tcBorders>
            <w:shd w:val="clear" w:color="auto" w:fill="F2F5F7"/>
          </w:tcPr>
          <w:p w:rsidR="00366656" w:rsidRPr="006063FA" w:rsidRDefault="00366656" w:rsidP="007476A6">
            <w:pPr>
              <w:rPr>
                <w:color w:val="auto"/>
              </w:rPr>
            </w:pPr>
            <w:r>
              <w:rPr>
                <w:color w:val="auto"/>
              </w:rPr>
              <w:t>13.3</w:t>
            </w:r>
          </w:p>
        </w:tc>
      </w:tr>
      <w:tr w:rsidR="00366656" w:rsidRPr="006A7549" w:rsidTr="007476A6">
        <w:trPr>
          <w:trHeight w:val="206"/>
        </w:trPr>
        <w:tc>
          <w:tcPr>
            <w:tcW w:w="759" w:type="dxa"/>
            <w:tcBorders>
              <w:top w:val="single" w:sz="2" w:space="0" w:color="4F8ABE"/>
              <w:bottom w:val="single" w:sz="2" w:space="0" w:color="4F8ABE"/>
            </w:tcBorders>
            <w:shd w:val="clear" w:color="auto" w:fill="F2F5F7"/>
          </w:tcPr>
          <w:p w:rsidR="00366656" w:rsidRPr="00BC5771" w:rsidRDefault="00366656" w:rsidP="007476A6">
            <w:r w:rsidRPr="00BC5771">
              <w:t>2</w:t>
            </w:r>
          </w:p>
        </w:tc>
        <w:tc>
          <w:tcPr>
            <w:tcW w:w="851" w:type="dxa"/>
            <w:tcBorders>
              <w:top w:val="single" w:sz="2" w:space="0" w:color="4F8ABE"/>
              <w:bottom w:val="single" w:sz="2" w:space="0" w:color="4F8ABE"/>
            </w:tcBorders>
            <w:shd w:val="clear" w:color="auto" w:fill="F2F5F7"/>
          </w:tcPr>
          <w:p w:rsidR="00366656" w:rsidRPr="00BC5771" w:rsidRDefault="00366656" w:rsidP="007476A6">
            <w:r w:rsidRPr="00BC5771">
              <w:t>1</w:t>
            </w:r>
          </w:p>
        </w:tc>
        <w:tc>
          <w:tcPr>
            <w:tcW w:w="1275" w:type="dxa"/>
            <w:tcBorders>
              <w:top w:val="single" w:sz="2" w:space="0" w:color="4F8ABE"/>
              <w:bottom w:val="single" w:sz="2" w:space="0" w:color="4F8ABE"/>
            </w:tcBorders>
            <w:shd w:val="clear" w:color="auto" w:fill="F2F5F7"/>
          </w:tcPr>
          <w:p w:rsidR="00366656" w:rsidRPr="00BC5771" w:rsidRDefault="00366656" w:rsidP="007476A6">
            <w:r w:rsidRPr="00BC5771">
              <w:t>Hong Kong (China)</w:t>
            </w:r>
          </w:p>
        </w:tc>
        <w:tc>
          <w:tcPr>
            <w:tcW w:w="1134" w:type="dxa"/>
            <w:tcBorders>
              <w:top w:val="single" w:sz="2" w:space="0" w:color="4F8ABE"/>
              <w:bottom w:val="single" w:sz="2" w:space="0" w:color="4F8ABE"/>
            </w:tcBorders>
            <w:shd w:val="clear" w:color="auto" w:fill="F2F5F7"/>
          </w:tcPr>
          <w:p w:rsidR="00366656" w:rsidRPr="00BC5771" w:rsidRDefault="00366656" w:rsidP="007476A6">
            <w:r w:rsidRPr="00BC5771">
              <w:t>Hong Kong</w:t>
            </w:r>
          </w:p>
        </w:tc>
        <w:tc>
          <w:tcPr>
            <w:tcW w:w="1701" w:type="dxa"/>
            <w:tcBorders>
              <w:top w:val="single" w:sz="2" w:space="0" w:color="4F8ABE"/>
              <w:bottom w:val="single" w:sz="2" w:space="0" w:color="4F8ABE"/>
            </w:tcBorders>
            <w:shd w:val="clear" w:color="auto" w:fill="F2F5F7"/>
          </w:tcPr>
          <w:p w:rsidR="00366656" w:rsidRPr="00BC5771" w:rsidRDefault="00366656" w:rsidP="007476A6">
            <w:r w:rsidRPr="00BC5771">
              <w:t>Causeway Bay</w:t>
            </w:r>
          </w:p>
        </w:tc>
        <w:tc>
          <w:tcPr>
            <w:tcW w:w="993" w:type="dxa"/>
            <w:tcBorders>
              <w:top w:val="single" w:sz="2" w:space="0" w:color="4F8ABE"/>
              <w:bottom w:val="single" w:sz="2" w:space="0" w:color="4F8ABE"/>
            </w:tcBorders>
            <w:shd w:val="clear" w:color="auto" w:fill="F2F5F7"/>
          </w:tcPr>
          <w:p w:rsidR="00366656" w:rsidRPr="00BC5771" w:rsidRDefault="00366656" w:rsidP="007476A6">
            <w:r w:rsidRPr="00BC5771">
              <w:t>23,307</w:t>
            </w:r>
          </w:p>
        </w:tc>
        <w:tc>
          <w:tcPr>
            <w:tcW w:w="992" w:type="dxa"/>
            <w:tcBorders>
              <w:top w:val="single" w:sz="2" w:space="0" w:color="4F8ABE"/>
              <w:bottom w:val="single" w:sz="2" w:space="0" w:color="4F8ABE"/>
            </w:tcBorders>
            <w:shd w:val="clear" w:color="auto" w:fill="F2F5F7"/>
          </w:tcPr>
          <w:p w:rsidR="00366656" w:rsidRPr="006063FA" w:rsidRDefault="00366656" w:rsidP="007476A6">
            <w:pPr>
              <w:rPr>
                <w:color w:val="auto"/>
              </w:rPr>
            </w:pPr>
            <w:r w:rsidRPr="00BC5771">
              <w:t>2,735</w:t>
            </w:r>
          </w:p>
        </w:tc>
        <w:tc>
          <w:tcPr>
            <w:tcW w:w="1276" w:type="dxa"/>
            <w:tcBorders>
              <w:top w:val="single" w:sz="2" w:space="0" w:color="4F8ABE"/>
              <w:bottom w:val="single" w:sz="2" w:space="0" w:color="4F8ABE"/>
            </w:tcBorders>
            <w:shd w:val="clear" w:color="auto" w:fill="F2F5F7"/>
          </w:tcPr>
          <w:p w:rsidR="00366656" w:rsidRPr="006063FA" w:rsidRDefault="00366656" w:rsidP="007476A6">
            <w:r>
              <w:rPr>
                <w:color w:val="auto"/>
              </w:rPr>
              <w:t>-6.8</w:t>
            </w:r>
          </w:p>
        </w:tc>
      </w:tr>
      <w:tr w:rsidR="00366656" w:rsidRPr="006A7549" w:rsidTr="007476A6">
        <w:tc>
          <w:tcPr>
            <w:tcW w:w="759" w:type="dxa"/>
            <w:tcBorders>
              <w:top w:val="single" w:sz="2" w:space="0" w:color="4F8ABE"/>
              <w:bottom w:val="single" w:sz="2" w:space="0" w:color="4F8ABE"/>
            </w:tcBorders>
            <w:shd w:val="clear" w:color="auto" w:fill="F2F5F7"/>
          </w:tcPr>
          <w:p w:rsidR="00366656" w:rsidRPr="00BC5771" w:rsidRDefault="00366656" w:rsidP="007476A6">
            <w:r w:rsidRPr="00BC5771">
              <w:t>3</w:t>
            </w:r>
          </w:p>
        </w:tc>
        <w:tc>
          <w:tcPr>
            <w:tcW w:w="851" w:type="dxa"/>
            <w:tcBorders>
              <w:top w:val="single" w:sz="2" w:space="0" w:color="4F8ABE"/>
              <w:bottom w:val="single" w:sz="2" w:space="0" w:color="4F8ABE"/>
            </w:tcBorders>
            <w:shd w:val="clear" w:color="auto" w:fill="F2F5F7"/>
          </w:tcPr>
          <w:p w:rsidR="00366656" w:rsidRPr="00BC5771" w:rsidRDefault="00366656" w:rsidP="007476A6">
            <w:r w:rsidRPr="00BC5771">
              <w:t>3</w:t>
            </w:r>
          </w:p>
        </w:tc>
        <w:tc>
          <w:tcPr>
            <w:tcW w:w="1275" w:type="dxa"/>
            <w:tcBorders>
              <w:top w:val="single" w:sz="2" w:space="0" w:color="4F8ABE"/>
              <w:bottom w:val="single" w:sz="2" w:space="0" w:color="4F8ABE"/>
            </w:tcBorders>
            <w:shd w:val="clear" w:color="auto" w:fill="F2F5F7"/>
          </w:tcPr>
          <w:p w:rsidR="00366656" w:rsidRPr="00BC5771" w:rsidRDefault="00366656" w:rsidP="007476A6">
            <w:r w:rsidRPr="00BC5771">
              <w:t>France</w:t>
            </w:r>
          </w:p>
        </w:tc>
        <w:tc>
          <w:tcPr>
            <w:tcW w:w="1134" w:type="dxa"/>
            <w:tcBorders>
              <w:top w:val="single" w:sz="2" w:space="0" w:color="4F8ABE"/>
              <w:bottom w:val="single" w:sz="2" w:space="0" w:color="4F8ABE"/>
            </w:tcBorders>
            <w:shd w:val="clear" w:color="auto" w:fill="F2F5F7"/>
          </w:tcPr>
          <w:p w:rsidR="00366656" w:rsidRPr="00BC5771" w:rsidRDefault="00366656" w:rsidP="007476A6">
            <w:r w:rsidRPr="00BC5771">
              <w:t>Paris</w:t>
            </w:r>
          </w:p>
        </w:tc>
        <w:tc>
          <w:tcPr>
            <w:tcW w:w="1701" w:type="dxa"/>
            <w:tcBorders>
              <w:top w:val="single" w:sz="2" w:space="0" w:color="4F8ABE"/>
              <w:bottom w:val="single" w:sz="2" w:space="0" w:color="4F8ABE"/>
            </w:tcBorders>
            <w:shd w:val="clear" w:color="auto" w:fill="F2F5F7"/>
          </w:tcPr>
          <w:p w:rsidR="00366656" w:rsidRPr="00BC5771" w:rsidRDefault="00366656" w:rsidP="007476A6">
            <w:r w:rsidRPr="00BC5771">
              <w:t>Avenue des Champs Élysées</w:t>
            </w:r>
          </w:p>
        </w:tc>
        <w:tc>
          <w:tcPr>
            <w:tcW w:w="993" w:type="dxa"/>
            <w:tcBorders>
              <w:top w:val="single" w:sz="2" w:space="0" w:color="4F8ABE"/>
              <w:bottom w:val="single" w:sz="2" w:space="0" w:color="4F8ABE"/>
            </w:tcBorders>
            <w:shd w:val="clear" w:color="auto" w:fill="F2F5F7"/>
          </w:tcPr>
          <w:p w:rsidR="00366656" w:rsidRPr="00BC5771" w:rsidRDefault="00366656" w:rsidP="007476A6">
            <w:r w:rsidRPr="00BC5771">
              <w:t>13,255</w:t>
            </w:r>
          </w:p>
        </w:tc>
        <w:tc>
          <w:tcPr>
            <w:tcW w:w="992" w:type="dxa"/>
            <w:tcBorders>
              <w:top w:val="single" w:sz="2" w:space="0" w:color="4F8ABE"/>
              <w:bottom w:val="single" w:sz="2" w:space="0" w:color="4F8ABE"/>
            </w:tcBorders>
            <w:shd w:val="clear" w:color="auto" w:fill="F2F5F7"/>
          </w:tcPr>
          <w:p w:rsidR="00366656" w:rsidRPr="00BC5771" w:rsidRDefault="00366656" w:rsidP="007476A6">
            <w:r w:rsidRPr="00BC5771">
              <w:t>1,556</w:t>
            </w:r>
          </w:p>
        </w:tc>
        <w:tc>
          <w:tcPr>
            <w:tcW w:w="1276" w:type="dxa"/>
            <w:tcBorders>
              <w:top w:val="single" w:sz="2" w:space="0" w:color="4F8ABE"/>
              <w:bottom w:val="single" w:sz="2" w:space="0" w:color="4F8ABE"/>
            </w:tcBorders>
            <w:shd w:val="clear" w:color="auto" w:fill="F2F5F7"/>
          </w:tcPr>
          <w:p w:rsidR="00366656" w:rsidRPr="00BC5771" w:rsidRDefault="00366656" w:rsidP="007476A6">
            <w:pPr>
              <w:rPr>
                <w:highlight w:val="yellow"/>
              </w:rPr>
            </w:pPr>
            <w:r w:rsidRPr="006063FA">
              <w:rPr>
                <w:color w:val="auto"/>
              </w:rPr>
              <w:t>0</w:t>
            </w:r>
            <w:r>
              <w:rPr>
                <w:color w:val="auto"/>
              </w:rPr>
              <w:t>.0</w:t>
            </w:r>
          </w:p>
        </w:tc>
      </w:tr>
      <w:tr w:rsidR="00366656" w:rsidRPr="006A7549" w:rsidTr="007476A6">
        <w:tc>
          <w:tcPr>
            <w:tcW w:w="759" w:type="dxa"/>
            <w:tcBorders>
              <w:top w:val="single" w:sz="2" w:space="0" w:color="4F8ABE"/>
              <w:bottom w:val="single" w:sz="2" w:space="0" w:color="4F8ABE"/>
            </w:tcBorders>
            <w:shd w:val="clear" w:color="auto" w:fill="F2F5F7"/>
          </w:tcPr>
          <w:p w:rsidR="00366656" w:rsidRPr="00BC5771" w:rsidRDefault="00366656" w:rsidP="007476A6">
            <w:r w:rsidRPr="00BC5771">
              <w:t>4</w:t>
            </w:r>
          </w:p>
        </w:tc>
        <w:tc>
          <w:tcPr>
            <w:tcW w:w="851" w:type="dxa"/>
            <w:tcBorders>
              <w:top w:val="single" w:sz="2" w:space="0" w:color="4F8ABE"/>
              <w:bottom w:val="single" w:sz="2" w:space="0" w:color="4F8ABE"/>
            </w:tcBorders>
            <w:shd w:val="clear" w:color="auto" w:fill="F2F5F7"/>
          </w:tcPr>
          <w:p w:rsidR="00366656" w:rsidRPr="00BC5771" w:rsidRDefault="00366656" w:rsidP="007476A6">
            <w:r w:rsidRPr="00BC5771">
              <w:t>4</w:t>
            </w:r>
          </w:p>
        </w:tc>
        <w:tc>
          <w:tcPr>
            <w:tcW w:w="1275" w:type="dxa"/>
            <w:tcBorders>
              <w:top w:val="single" w:sz="2" w:space="0" w:color="4F8ABE"/>
              <w:bottom w:val="single" w:sz="2" w:space="0" w:color="4F8ABE"/>
            </w:tcBorders>
            <w:shd w:val="clear" w:color="auto" w:fill="F2F5F7"/>
          </w:tcPr>
          <w:p w:rsidR="00366656" w:rsidRPr="00BC5771" w:rsidRDefault="00366656" w:rsidP="007476A6">
            <w:r w:rsidRPr="00BC5771">
              <w:t>UK</w:t>
            </w:r>
          </w:p>
        </w:tc>
        <w:tc>
          <w:tcPr>
            <w:tcW w:w="1134" w:type="dxa"/>
            <w:tcBorders>
              <w:top w:val="single" w:sz="2" w:space="0" w:color="4F8ABE"/>
              <w:bottom w:val="single" w:sz="2" w:space="0" w:color="4F8ABE"/>
            </w:tcBorders>
            <w:shd w:val="clear" w:color="auto" w:fill="F2F5F7"/>
          </w:tcPr>
          <w:p w:rsidR="00366656" w:rsidRPr="00BC5771" w:rsidRDefault="00366656" w:rsidP="007476A6">
            <w:r w:rsidRPr="00BC5771">
              <w:t>London</w:t>
            </w:r>
          </w:p>
        </w:tc>
        <w:tc>
          <w:tcPr>
            <w:tcW w:w="1701" w:type="dxa"/>
            <w:tcBorders>
              <w:top w:val="single" w:sz="2" w:space="0" w:color="4F8ABE"/>
              <w:bottom w:val="single" w:sz="2" w:space="0" w:color="4F8ABE"/>
            </w:tcBorders>
            <w:shd w:val="clear" w:color="auto" w:fill="F2F5F7"/>
          </w:tcPr>
          <w:p w:rsidR="00366656" w:rsidRPr="00BC5771" w:rsidRDefault="00366656" w:rsidP="007476A6">
            <w:r w:rsidRPr="00BC5771">
              <w:t>New Bond Street</w:t>
            </w:r>
          </w:p>
        </w:tc>
        <w:tc>
          <w:tcPr>
            <w:tcW w:w="993" w:type="dxa"/>
            <w:tcBorders>
              <w:top w:val="single" w:sz="2" w:space="0" w:color="4F8ABE"/>
              <w:bottom w:val="single" w:sz="2" w:space="0" w:color="4F8ABE"/>
            </w:tcBorders>
            <w:shd w:val="clear" w:color="auto" w:fill="F2F5F7"/>
          </w:tcPr>
          <w:p w:rsidR="00366656" w:rsidRPr="00BC5771" w:rsidRDefault="00366656" w:rsidP="007476A6">
            <w:r w:rsidRPr="00BC5771">
              <w:t>10,361</w:t>
            </w:r>
          </w:p>
        </w:tc>
        <w:tc>
          <w:tcPr>
            <w:tcW w:w="992" w:type="dxa"/>
            <w:tcBorders>
              <w:top w:val="single" w:sz="2" w:space="0" w:color="4F8ABE"/>
              <w:bottom w:val="single" w:sz="2" w:space="0" w:color="4F8ABE"/>
            </w:tcBorders>
            <w:shd w:val="clear" w:color="auto" w:fill="F2F5F7"/>
          </w:tcPr>
          <w:p w:rsidR="00366656" w:rsidRPr="00BC5771" w:rsidRDefault="00366656" w:rsidP="007476A6">
            <w:r w:rsidRPr="00BC5771">
              <w:t>1,216</w:t>
            </w:r>
          </w:p>
        </w:tc>
        <w:tc>
          <w:tcPr>
            <w:tcW w:w="1276" w:type="dxa"/>
            <w:tcBorders>
              <w:top w:val="single" w:sz="2" w:space="0" w:color="4F8ABE"/>
              <w:bottom w:val="single" w:sz="2" w:space="0" w:color="4F8ABE"/>
            </w:tcBorders>
            <w:shd w:val="clear" w:color="auto" w:fill="F2F5F7"/>
          </w:tcPr>
          <w:p w:rsidR="00366656" w:rsidRPr="00BC5771" w:rsidRDefault="00366656" w:rsidP="007476A6">
            <w:pPr>
              <w:rPr>
                <w:highlight w:val="yellow"/>
              </w:rPr>
            </w:pPr>
            <w:r w:rsidRPr="006063FA">
              <w:rPr>
                <w:color w:val="auto"/>
              </w:rPr>
              <w:t>4</w:t>
            </w:r>
            <w:r>
              <w:rPr>
                <w:color w:val="auto"/>
              </w:rPr>
              <w:t>.2</w:t>
            </w:r>
          </w:p>
        </w:tc>
      </w:tr>
      <w:tr w:rsidR="00366656" w:rsidRPr="006A7549" w:rsidTr="007476A6">
        <w:tc>
          <w:tcPr>
            <w:tcW w:w="759" w:type="dxa"/>
            <w:tcBorders>
              <w:top w:val="single" w:sz="2" w:space="0" w:color="4F8ABE"/>
              <w:bottom w:val="single" w:sz="2" w:space="0" w:color="4F8ABE"/>
            </w:tcBorders>
            <w:shd w:val="clear" w:color="auto" w:fill="F2F5F7"/>
          </w:tcPr>
          <w:p w:rsidR="00366656" w:rsidRPr="00BC5771" w:rsidRDefault="00366656" w:rsidP="007476A6">
            <w:r w:rsidRPr="00BC5771">
              <w:t>5</w:t>
            </w:r>
          </w:p>
        </w:tc>
        <w:tc>
          <w:tcPr>
            <w:tcW w:w="851" w:type="dxa"/>
            <w:tcBorders>
              <w:top w:val="single" w:sz="2" w:space="0" w:color="4F8ABE"/>
              <w:bottom w:val="single" w:sz="2" w:space="0" w:color="4F8ABE"/>
            </w:tcBorders>
            <w:shd w:val="clear" w:color="auto" w:fill="F2F5F7"/>
          </w:tcPr>
          <w:p w:rsidR="00366656" w:rsidRPr="00BC5771" w:rsidRDefault="00366656" w:rsidP="007476A6">
            <w:r w:rsidRPr="00BC5771">
              <w:t>8</w:t>
            </w:r>
          </w:p>
        </w:tc>
        <w:tc>
          <w:tcPr>
            <w:tcW w:w="1275" w:type="dxa"/>
            <w:tcBorders>
              <w:top w:val="single" w:sz="2" w:space="0" w:color="4F8ABE"/>
              <w:bottom w:val="single" w:sz="2" w:space="0" w:color="4F8ABE"/>
            </w:tcBorders>
            <w:shd w:val="clear" w:color="auto" w:fill="F2F5F7"/>
          </w:tcPr>
          <w:p w:rsidR="00366656" w:rsidRPr="00BC5771" w:rsidRDefault="00366656" w:rsidP="007476A6">
            <w:r w:rsidRPr="00BC5771">
              <w:t>Australia</w:t>
            </w:r>
          </w:p>
        </w:tc>
        <w:tc>
          <w:tcPr>
            <w:tcW w:w="1134" w:type="dxa"/>
            <w:tcBorders>
              <w:top w:val="single" w:sz="2" w:space="0" w:color="4F8ABE"/>
              <w:bottom w:val="single" w:sz="2" w:space="0" w:color="4F8ABE"/>
            </w:tcBorders>
            <w:shd w:val="clear" w:color="auto" w:fill="F2F5F7"/>
          </w:tcPr>
          <w:p w:rsidR="00366656" w:rsidRPr="00BC5771" w:rsidRDefault="00366656" w:rsidP="007476A6">
            <w:r w:rsidRPr="00BC5771">
              <w:t>Sydney</w:t>
            </w:r>
          </w:p>
        </w:tc>
        <w:tc>
          <w:tcPr>
            <w:tcW w:w="1701" w:type="dxa"/>
            <w:tcBorders>
              <w:top w:val="single" w:sz="2" w:space="0" w:color="4F8ABE"/>
              <w:bottom w:val="single" w:sz="2" w:space="0" w:color="4F8ABE"/>
            </w:tcBorders>
            <w:shd w:val="clear" w:color="auto" w:fill="F2F5F7"/>
          </w:tcPr>
          <w:p w:rsidR="00366656" w:rsidRPr="00BC5771" w:rsidRDefault="00366656" w:rsidP="007476A6">
            <w:r w:rsidRPr="00BC5771">
              <w:t>Pitt Street Mall</w:t>
            </w:r>
          </w:p>
        </w:tc>
        <w:tc>
          <w:tcPr>
            <w:tcW w:w="993" w:type="dxa"/>
            <w:tcBorders>
              <w:top w:val="single" w:sz="2" w:space="0" w:color="4F8ABE"/>
              <w:bottom w:val="single" w:sz="2" w:space="0" w:color="4F8ABE"/>
            </w:tcBorders>
            <w:shd w:val="clear" w:color="auto" w:fill="F2F5F7"/>
          </w:tcPr>
          <w:p w:rsidR="00366656" w:rsidRPr="00BC5771" w:rsidRDefault="00366656" w:rsidP="007476A6">
            <w:r w:rsidRPr="00BC5771">
              <w:t>8,658</w:t>
            </w:r>
          </w:p>
        </w:tc>
        <w:tc>
          <w:tcPr>
            <w:tcW w:w="992" w:type="dxa"/>
            <w:tcBorders>
              <w:top w:val="single" w:sz="2" w:space="0" w:color="4F8ABE"/>
              <w:bottom w:val="single" w:sz="2" w:space="0" w:color="4F8ABE"/>
            </w:tcBorders>
            <w:shd w:val="clear" w:color="auto" w:fill="F2F5F7"/>
          </w:tcPr>
          <w:p w:rsidR="00366656" w:rsidRPr="00BC5771" w:rsidRDefault="00366656" w:rsidP="007476A6">
            <w:r w:rsidRPr="00BC5771">
              <w:t>1,016</w:t>
            </w:r>
          </w:p>
        </w:tc>
        <w:tc>
          <w:tcPr>
            <w:tcW w:w="1276" w:type="dxa"/>
            <w:tcBorders>
              <w:top w:val="single" w:sz="2" w:space="0" w:color="4F8ABE"/>
              <w:bottom w:val="single" w:sz="2" w:space="0" w:color="4F8ABE"/>
            </w:tcBorders>
            <w:shd w:val="clear" w:color="auto" w:fill="F2F5F7"/>
          </w:tcPr>
          <w:p w:rsidR="00366656" w:rsidRPr="00BC5771" w:rsidRDefault="00366656" w:rsidP="007476A6">
            <w:pPr>
              <w:rPr>
                <w:color w:val="FF0000"/>
                <w:highlight w:val="yellow"/>
              </w:rPr>
            </w:pPr>
            <w:r w:rsidRPr="00B423E1">
              <w:rPr>
                <w:color w:val="auto"/>
              </w:rPr>
              <w:t>2</w:t>
            </w:r>
            <w:r>
              <w:rPr>
                <w:color w:val="auto"/>
              </w:rPr>
              <w:t>5</w:t>
            </w:r>
            <w:r w:rsidR="008065D2">
              <w:rPr>
                <w:color w:val="auto"/>
              </w:rPr>
              <w:t>.0</w:t>
            </w:r>
          </w:p>
        </w:tc>
      </w:tr>
      <w:tr w:rsidR="00366656" w:rsidRPr="006A7549" w:rsidTr="007476A6">
        <w:tc>
          <w:tcPr>
            <w:tcW w:w="759" w:type="dxa"/>
            <w:tcBorders>
              <w:top w:val="single" w:sz="2" w:space="0" w:color="4F8ABE"/>
              <w:bottom w:val="single" w:sz="2" w:space="0" w:color="4F8ABE"/>
            </w:tcBorders>
            <w:shd w:val="clear" w:color="auto" w:fill="F2F5F7"/>
          </w:tcPr>
          <w:p w:rsidR="00366656" w:rsidRPr="00BC5771" w:rsidRDefault="00366656" w:rsidP="007476A6">
            <w:r w:rsidRPr="00BC5771">
              <w:t>6</w:t>
            </w:r>
          </w:p>
        </w:tc>
        <w:tc>
          <w:tcPr>
            <w:tcW w:w="851" w:type="dxa"/>
            <w:tcBorders>
              <w:top w:val="single" w:sz="2" w:space="0" w:color="4F8ABE"/>
              <w:bottom w:val="single" w:sz="2" w:space="0" w:color="4F8ABE"/>
            </w:tcBorders>
            <w:shd w:val="clear" w:color="auto" w:fill="F2F5F7"/>
          </w:tcPr>
          <w:p w:rsidR="00366656" w:rsidRPr="00BC5771" w:rsidRDefault="00366656" w:rsidP="007476A6">
            <w:r w:rsidRPr="00BC5771">
              <w:t>6</w:t>
            </w:r>
          </w:p>
        </w:tc>
        <w:tc>
          <w:tcPr>
            <w:tcW w:w="1275" w:type="dxa"/>
            <w:tcBorders>
              <w:top w:val="single" w:sz="2" w:space="0" w:color="4F8ABE"/>
              <w:bottom w:val="single" w:sz="2" w:space="0" w:color="4F8ABE"/>
            </w:tcBorders>
            <w:shd w:val="clear" w:color="auto" w:fill="F2F5F7"/>
          </w:tcPr>
          <w:p w:rsidR="00366656" w:rsidRPr="00BC5771" w:rsidRDefault="00366656" w:rsidP="007476A6">
            <w:r w:rsidRPr="00BC5771">
              <w:t>Italy</w:t>
            </w:r>
          </w:p>
        </w:tc>
        <w:tc>
          <w:tcPr>
            <w:tcW w:w="1134" w:type="dxa"/>
            <w:tcBorders>
              <w:top w:val="single" w:sz="2" w:space="0" w:color="4F8ABE"/>
              <w:bottom w:val="single" w:sz="2" w:space="0" w:color="4F8ABE"/>
            </w:tcBorders>
            <w:shd w:val="clear" w:color="auto" w:fill="F2F5F7"/>
          </w:tcPr>
          <w:p w:rsidR="00366656" w:rsidRPr="00BC5771" w:rsidRDefault="00366656" w:rsidP="007476A6">
            <w:r w:rsidRPr="00BC5771">
              <w:t>Milan</w:t>
            </w:r>
          </w:p>
        </w:tc>
        <w:tc>
          <w:tcPr>
            <w:tcW w:w="1701" w:type="dxa"/>
            <w:tcBorders>
              <w:top w:val="single" w:sz="2" w:space="0" w:color="4F8ABE"/>
              <w:bottom w:val="single" w:sz="2" w:space="0" w:color="4F8ABE"/>
            </w:tcBorders>
            <w:shd w:val="clear" w:color="auto" w:fill="F2F5F7"/>
          </w:tcPr>
          <w:p w:rsidR="00366656" w:rsidRPr="00BC5771" w:rsidRDefault="00366656" w:rsidP="007476A6">
            <w:r w:rsidRPr="00BC5771">
              <w:t>Via Montenapoleone</w:t>
            </w:r>
          </w:p>
        </w:tc>
        <w:tc>
          <w:tcPr>
            <w:tcW w:w="993" w:type="dxa"/>
            <w:tcBorders>
              <w:top w:val="single" w:sz="2" w:space="0" w:color="4F8ABE"/>
              <w:bottom w:val="single" w:sz="2" w:space="0" w:color="4F8ABE"/>
            </w:tcBorders>
            <w:shd w:val="clear" w:color="auto" w:fill="F2F5F7"/>
          </w:tcPr>
          <w:p w:rsidR="00366656" w:rsidRPr="00BC5771" w:rsidRDefault="00366656" w:rsidP="007476A6">
            <w:r w:rsidRPr="00BC5771">
              <w:t>8,500</w:t>
            </w:r>
          </w:p>
        </w:tc>
        <w:tc>
          <w:tcPr>
            <w:tcW w:w="992" w:type="dxa"/>
            <w:tcBorders>
              <w:top w:val="single" w:sz="2" w:space="0" w:color="4F8ABE"/>
              <w:bottom w:val="single" w:sz="2" w:space="0" w:color="4F8ABE"/>
            </w:tcBorders>
            <w:shd w:val="clear" w:color="auto" w:fill="F2F5F7"/>
          </w:tcPr>
          <w:p w:rsidR="00366656" w:rsidRPr="00BC5771" w:rsidRDefault="00366656" w:rsidP="007476A6">
            <w:r w:rsidRPr="00BC5771">
              <w:t>998</w:t>
            </w:r>
          </w:p>
        </w:tc>
        <w:tc>
          <w:tcPr>
            <w:tcW w:w="1276" w:type="dxa"/>
            <w:tcBorders>
              <w:top w:val="single" w:sz="2" w:space="0" w:color="4F8ABE"/>
              <w:bottom w:val="single" w:sz="2" w:space="0" w:color="4F8ABE"/>
            </w:tcBorders>
            <w:shd w:val="clear" w:color="auto" w:fill="F2F5F7"/>
          </w:tcPr>
          <w:p w:rsidR="00366656" w:rsidRPr="00BC5771" w:rsidRDefault="00366656" w:rsidP="007476A6">
            <w:pPr>
              <w:rPr>
                <w:color w:val="FF0000"/>
                <w:highlight w:val="yellow"/>
              </w:rPr>
            </w:pPr>
            <w:r>
              <w:rPr>
                <w:color w:val="auto"/>
              </w:rPr>
              <w:t>13.3</w:t>
            </w:r>
          </w:p>
        </w:tc>
      </w:tr>
      <w:tr w:rsidR="00366656" w:rsidRPr="006A7549" w:rsidTr="007476A6">
        <w:tc>
          <w:tcPr>
            <w:tcW w:w="759" w:type="dxa"/>
            <w:tcBorders>
              <w:top w:val="single" w:sz="2" w:space="0" w:color="4F8ABE"/>
              <w:bottom w:val="single" w:sz="2" w:space="0" w:color="4F8ABE"/>
            </w:tcBorders>
            <w:shd w:val="clear" w:color="auto" w:fill="F2F5F7"/>
          </w:tcPr>
          <w:p w:rsidR="00366656" w:rsidRPr="00BC5771" w:rsidRDefault="00366656" w:rsidP="007476A6">
            <w:r w:rsidRPr="00BC5771">
              <w:t>7</w:t>
            </w:r>
          </w:p>
        </w:tc>
        <w:tc>
          <w:tcPr>
            <w:tcW w:w="851" w:type="dxa"/>
            <w:tcBorders>
              <w:top w:val="single" w:sz="2" w:space="0" w:color="4F8ABE"/>
              <w:bottom w:val="single" w:sz="2" w:space="0" w:color="4F8ABE"/>
            </w:tcBorders>
            <w:shd w:val="clear" w:color="auto" w:fill="F2F5F7"/>
          </w:tcPr>
          <w:p w:rsidR="00366656" w:rsidRPr="00BC5771" w:rsidRDefault="00366656" w:rsidP="007476A6">
            <w:r w:rsidRPr="00BC5771">
              <w:t>5</w:t>
            </w:r>
          </w:p>
        </w:tc>
        <w:tc>
          <w:tcPr>
            <w:tcW w:w="1275" w:type="dxa"/>
            <w:tcBorders>
              <w:top w:val="single" w:sz="2" w:space="0" w:color="4F8ABE"/>
              <w:bottom w:val="single" w:sz="2" w:space="0" w:color="4F8ABE"/>
            </w:tcBorders>
            <w:shd w:val="clear" w:color="auto" w:fill="F2F5F7"/>
          </w:tcPr>
          <w:p w:rsidR="00366656" w:rsidRPr="00BC5771" w:rsidRDefault="00366656" w:rsidP="007476A6">
            <w:r w:rsidRPr="00BC5771">
              <w:t>Japan</w:t>
            </w:r>
          </w:p>
        </w:tc>
        <w:tc>
          <w:tcPr>
            <w:tcW w:w="1134" w:type="dxa"/>
            <w:tcBorders>
              <w:top w:val="single" w:sz="2" w:space="0" w:color="4F8ABE"/>
              <w:bottom w:val="single" w:sz="2" w:space="0" w:color="4F8ABE"/>
            </w:tcBorders>
            <w:shd w:val="clear" w:color="auto" w:fill="F2F5F7"/>
          </w:tcPr>
          <w:p w:rsidR="00366656" w:rsidRPr="00BC5771" w:rsidRDefault="00366656" w:rsidP="007476A6">
            <w:r w:rsidRPr="00BC5771">
              <w:t>Tokyo</w:t>
            </w:r>
          </w:p>
        </w:tc>
        <w:tc>
          <w:tcPr>
            <w:tcW w:w="1701" w:type="dxa"/>
            <w:tcBorders>
              <w:top w:val="single" w:sz="2" w:space="0" w:color="4F8ABE"/>
              <w:bottom w:val="single" w:sz="2" w:space="0" w:color="4F8ABE"/>
            </w:tcBorders>
            <w:shd w:val="clear" w:color="auto" w:fill="F2F5F7"/>
          </w:tcPr>
          <w:p w:rsidR="00366656" w:rsidRPr="00BC5771" w:rsidRDefault="00366656" w:rsidP="007476A6">
            <w:r w:rsidRPr="00BC5771">
              <w:t>Ginza</w:t>
            </w:r>
          </w:p>
        </w:tc>
        <w:tc>
          <w:tcPr>
            <w:tcW w:w="993" w:type="dxa"/>
            <w:tcBorders>
              <w:top w:val="single" w:sz="2" w:space="0" w:color="4F8ABE"/>
              <w:bottom w:val="single" w:sz="2" w:space="0" w:color="4F8ABE"/>
            </w:tcBorders>
            <w:shd w:val="clear" w:color="auto" w:fill="F2F5F7"/>
          </w:tcPr>
          <w:p w:rsidR="00366656" w:rsidRPr="00BC5771" w:rsidRDefault="00366656" w:rsidP="007476A6">
            <w:r w:rsidRPr="00BC5771">
              <w:t>8,120</w:t>
            </w:r>
          </w:p>
        </w:tc>
        <w:tc>
          <w:tcPr>
            <w:tcW w:w="992" w:type="dxa"/>
            <w:tcBorders>
              <w:top w:val="single" w:sz="2" w:space="0" w:color="4F8ABE"/>
              <w:bottom w:val="single" w:sz="2" w:space="0" w:color="4F8ABE"/>
            </w:tcBorders>
            <w:shd w:val="clear" w:color="auto" w:fill="F2F5F7"/>
          </w:tcPr>
          <w:p w:rsidR="00366656" w:rsidRPr="00BC5771" w:rsidRDefault="00366656" w:rsidP="007476A6">
            <w:r w:rsidRPr="00BC5771">
              <w:t>953</w:t>
            </w:r>
          </w:p>
        </w:tc>
        <w:tc>
          <w:tcPr>
            <w:tcW w:w="1276" w:type="dxa"/>
            <w:tcBorders>
              <w:top w:val="single" w:sz="2" w:space="0" w:color="4F8ABE"/>
              <w:bottom w:val="single" w:sz="2" w:space="0" w:color="4F8ABE"/>
            </w:tcBorders>
            <w:shd w:val="clear" w:color="auto" w:fill="F2F5F7"/>
          </w:tcPr>
          <w:p w:rsidR="00366656" w:rsidRPr="00BC5771" w:rsidRDefault="008065D2" w:rsidP="007476A6">
            <w:pPr>
              <w:rPr>
                <w:color w:val="FF0000"/>
                <w:highlight w:val="yellow"/>
              </w:rPr>
            </w:pPr>
            <w:r>
              <w:rPr>
                <w:color w:val="auto"/>
              </w:rPr>
              <w:t>6.9</w:t>
            </w:r>
          </w:p>
        </w:tc>
      </w:tr>
      <w:tr w:rsidR="00366656" w:rsidRPr="006A7549" w:rsidTr="007476A6">
        <w:tc>
          <w:tcPr>
            <w:tcW w:w="759" w:type="dxa"/>
            <w:tcBorders>
              <w:top w:val="single" w:sz="2" w:space="0" w:color="4F8ABE"/>
              <w:bottom w:val="single" w:sz="2" w:space="0" w:color="4F8ABE"/>
            </w:tcBorders>
            <w:shd w:val="clear" w:color="auto" w:fill="F2F5F7"/>
          </w:tcPr>
          <w:p w:rsidR="00366656" w:rsidRPr="00BC5771" w:rsidRDefault="00366656" w:rsidP="007476A6">
            <w:r w:rsidRPr="00BC5771">
              <w:t>8</w:t>
            </w:r>
          </w:p>
        </w:tc>
        <w:tc>
          <w:tcPr>
            <w:tcW w:w="851" w:type="dxa"/>
            <w:tcBorders>
              <w:top w:val="single" w:sz="2" w:space="0" w:color="4F8ABE"/>
              <w:bottom w:val="single" w:sz="2" w:space="0" w:color="4F8ABE"/>
            </w:tcBorders>
            <w:shd w:val="clear" w:color="auto" w:fill="F2F5F7"/>
          </w:tcPr>
          <w:p w:rsidR="00366656" w:rsidRPr="00BC5771" w:rsidRDefault="00366656" w:rsidP="007476A6">
            <w:r w:rsidRPr="00BC5771">
              <w:t>9</w:t>
            </w:r>
          </w:p>
        </w:tc>
        <w:tc>
          <w:tcPr>
            <w:tcW w:w="1275" w:type="dxa"/>
            <w:tcBorders>
              <w:top w:val="single" w:sz="2" w:space="0" w:color="4F8ABE"/>
              <w:bottom w:val="single" w:sz="2" w:space="0" w:color="4F8ABE"/>
            </w:tcBorders>
            <w:shd w:val="clear" w:color="auto" w:fill="F2F5F7"/>
          </w:tcPr>
          <w:p w:rsidR="00366656" w:rsidRPr="00BC5771" w:rsidRDefault="00366656" w:rsidP="007476A6">
            <w:r w:rsidRPr="00BC5771">
              <w:t>South Korea</w:t>
            </w:r>
          </w:p>
        </w:tc>
        <w:tc>
          <w:tcPr>
            <w:tcW w:w="1134" w:type="dxa"/>
            <w:tcBorders>
              <w:top w:val="single" w:sz="2" w:space="0" w:color="4F8ABE"/>
              <w:bottom w:val="single" w:sz="2" w:space="0" w:color="4F8ABE"/>
            </w:tcBorders>
            <w:shd w:val="clear" w:color="auto" w:fill="F2F5F7"/>
          </w:tcPr>
          <w:p w:rsidR="00366656" w:rsidRPr="00BC5771" w:rsidRDefault="00366656" w:rsidP="007476A6">
            <w:r w:rsidRPr="00BC5771">
              <w:t>Seoul</w:t>
            </w:r>
          </w:p>
        </w:tc>
        <w:tc>
          <w:tcPr>
            <w:tcW w:w="1701" w:type="dxa"/>
            <w:tcBorders>
              <w:top w:val="single" w:sz="2" w:space="0" w:color="4F8ABE"/>
              <w:bottom w:val="single" w:sz="2" w:space="0" w:color="4F8ABE"/>
            </w:tcBorders>
            <w:shd w:val="clear" w:color="auto" w:fill="F2F5F7"/>
          </w:tcPr>
          <w:p w:rsidR="00366656" w:rsidRPr="00BC5771" w:rsidRDefault="00366656" w:rsidP="007476A6">
            <w:r w:rsidRPr="00BC5771">
              <w:t>Myeongdong</w:t>
            </w:r>
          </w:p>
        </w:tc>
        <w:tc>
          <w:tcPr>
            <w:tcW w:w="993" w:type="dxa"/>
            <w:tcBorders>
              <w:top w:val="single" w:sz="2" w:space="0" w:color="4F8ABE"/>
              <w:bottom w:val="single" w:sz="2" w:space="0" w:color="4F8ABE"/>
            </w:tcBorders>
            <w:shd w:val="clear" w:color="auto" w:fill="F2F5F7"/>
          </w:tcPr>
          <w:p w:rsidR="00366656" w:rsidRPr="00BC5771" w:rsidRDefault="00366656" w:rsidP="007476A6">
            <w:r w:rsidRPr="00BC5771">
              <w:t>7,942</w:t>
            </w:r>
          </w:p>
        </w:tc>
        <w:tc>
          <w:tcPr>
            <w:tcW w:w="992" w:type="dxa"/>
            <w:tcBorders>
              <w:top w:val="single" w:sz="2" w:space="0" w:color="4F8ABE"/>
              <w:bottom w:val="single" w:sz="2" w:space="0" w:color="4F8ABE"/>
            </w:tcBorders>
            <w:shd w:val="clear" w:color="auto" w:fill="F2F5F7"/>
          </w:tcPr>
          <w:p w:rsidR="00366656" w:rsidRPr="00BC5771" w:rsidRDefault="00366656" w:rsidP="007476A6">
            <w:r w:rsidRPr="00BC5771">
              <w:t>932</w:t>
            </w:r>
          </w:p>
        </w:tc>
        <w:tc>
          <w:tcPr>
            <w:tcW w:w="1276" w:type="dxa"/>
            <w:tcBorders>
              <w:top w:val="single" w:sz="2" w:space="0" w:color="4F8ABE"/>
              <w:bottom w:val="single" w:sz="2" w:space="0" w:color="4F8ABE"/>
            </w:tcBorders>
            <w:shd w:val="clear" w:color="auto" w:fill="F2F5F7"/>
          </w:tcPr>
          <w:p w:rsidR="00366656" w:rsidRPr="00BC5771" w:rsidRDefault="00366656" w:rsidP="007476A6">
            <w:pPr>
              <w:rPr>
                <w:color w:val="FF0000"/>
                <w:highlight w:val="yellow"/>
              </w:rPr>
            </w:pPr>
            <w:r w:rsidRPr="00E31E83">
              <w:rPr>
                <w:color w:val="auto"/>
              </w:rPr>
              <w:t>17.6</w:t>
            </w:r>
          </w:p>
        </w:tc>
      </w:tr>
      <w:tr w:rsidR="00366656" w:rsidRPr="006A7549" w:rsidTr="007476A6">
        <w:tc>
          <w:tcPr>
            <w:tcW w:w="759" w:type="dxa"/>
            <w:tcBorders>
              <w:top w:val="single" w:sz="2" w:space="0" w:color="4F8ABE"/>
              <w:bottom w:val="single" w:sz="2" w:space="0" w:color="4F8ABE"/>
            </w:tcBorders>
            <w:shd w:val="clear" w:color="auto" w:fill="F2F5F7"/>
          </w:tcPr>
          <w:p w:rsidR="00366656" w:rsidRPr="00BC5771" w:rsidRDefault="00366656" w:rsidP="007476A6">
            <w:r w:rsidRPr="00BC5771">
              <w:t>9</w:t>
            </w:r>
          </w:p>
        </w:tc>
        <w:tc>
          <w:tcPr>
            <w:tcW w:w="851" w:type="dxa"/>
            <w:tcBorders>
              <w:top w:val="single" w:sz="2" w:space="0" w:color="4F8ABE"/>
              <w:bottom w:val="single" w:sz="2" w:space="0" w:color="4F8ABE"/>
            </w:tcBorders>
            <w:shd w:val="clear" w:color="auto" w:fill="F2F5F7"/>
          </w:tcPr>
          <w:p w:rsidR="00366656" w:rsidRPr="00BC5771" w:rsidRDefault="00366656" w:rsidP="007476A6">
            <w:r w:rsidRPr="00BC5771">
              <w:t>7</w:t>
            </w:r>
          </w:p>
        </w:tc>
        <w:tc>
          <w:tcPr>
            <w:tcW w:w="1275" w:type="dxa"/>
            <w:tcBorders>
              <w:top w:val="single" w:sz="2" w:space="0" w:color="4F8ABE"/>
              <w:bottom w:val="single" w:sz="2" w:space="0" w:color="4F8ABE"/>
            </w:tcBorders>
            <w:shd w:val="clear" w:color="auto" w:fill="F2F5F7"/>
          </w:tcPr>
          <w:p w:rsidR="00366656" w:rsidRPr="00BC5771" w:rsidRDefault="00366656" w:rsidP="007476A6">
            <w:r w:rsidRPr="00BC5771">
              <w:t>Switzerland</w:t>
            </w:r>
          </w:p>
        </w:tc>
        <w:tc>
          <w:tcPr>
            <w:tcW w:w="1134" w:type="dxa"/>
            <w:tcBorders>
              <w:top w:val="single" w:sz="2" w:space="0" w:color="4F8ABE"/>
              <w:bottom w:val="single" w:sz="2" w:space="0" w:color="4F8ABE"/>
            </w:tcBorders>
            <w:shd w:val="clear" w:color="auto" w:fill="F2F5F7"/>
          </w:tcPr>
          <w:p w:rsidR="00366656" w:rsidRPr="00BC5771" w:rsidRDefault="00366656" w:rsidP="007476A6">
            <w:r w:rsidRPr="00BC5771">
              <w:t>Zurich</w:t>
            </w:r>
          </w:p>
        </w:tc>
        <w:tc>
          <w:tcPr>
            <w:tcW w:w="1701" w:type="dxa"/>
            <w:tcBorders>
              <w:top w:val="single" w:sz="2" w:space="0" w:color="4F8ABE"/>
              <w:bottom w:val="single" w:sz="2" w:space="0" w:color="4F8ABE"/>
            </w:tcBorders>
            <w:shd w:val="clear" w:color="auto" w:fill="F2F5F7"/>
          </w:tcPr>
          <w:p w:rsidR="00366656" w:rsidRPr="00BC5771" w:rsidRDefault="00366656" w:rsidP="007476A6">
            <w:r w:rsidRPr="00BC5771">
              <w:t>Bahnhofstrasse</w:t>
            </w:r>
          </w:p>
        </w:tc>
        <w:tc>
          <w:tcPr>
            <w:tcW w:w="993" w:type="dxa"/>
            <w:tcBorders>
              <w:top w:val="single" w:sz="2" w:space="0" w:color="4F8ABE"/>
              <w:bottom w:val="single" w:sz="2" w:space="0" w:color="4F8ABE"/>
            </w:tcBorders>
            <w:shd w:val="clear" w:color="auto" w:fill="F2F5F7"/>
          </w:tcPr>
          <w:p w:rsidR="00366656" w:rsidRPr="00BC5771" w:rsidRDefault="00366656" w:rsidP="007476A6">
            <w:r w:rsidRPr="00BC5771">
              <w:t>7,456</w:t>
            </w:r>
          </w:p>
        </w:tc>
        <w:tc>
          <w:tcPr>
            <w:tcW w:w="992" w:type="dxa"/>
            <w:tcBorders>
              <w:top w:val="single" w:sz="2" w:space="0" w:color="4F8ABE"/>
              <w:bottom w:val="single" w:sz="2" w:space="0" w:color="4F8ABE"/>
            </w:tcBorders>
            <w:shd w:val="clear" w:color="auto" w:fill="F2F5F7"/>
          </w:tcPr>
          <w:p w:rsidR="00366656" w:rsidRPr="00E31E83" w:rsidRDefault="00366656" w:rsidP="007476A6">
            <w:pPr>
              <w:rPr>
                <w:color w:val="auto"/>
              </w:rPr>
            </w:pPr>
            <w:r w:rsidRPr="00E31E83">
              <w:rPr>
                <w:color w:val="auto"/>
              </w:rPr>
              <w:t>875</w:t>
            </w:r>
          </w:p>
        </w:tc>
        <w:tc>
          <w:tcPr>
            <w:tcW w:w="1276" w:type="dxa"/>
            <w:tcBorders>
              <w:top w:val="single" w:sz="2" w:space="0" w:color="4F8ABE"/>
              <w:bottom w:val="single" w:sz="2" w:space="0" w:color="4F8ABE"/>
            </w:tcBorders>
            <w:shd w:val="clear" w:color="auto" w:fill="F2F5F7"/>
          </w:tcPr>
          <w:p w:rsidR="00366656" w:rsidRPr="00E31E83" w:rsidRDefault="00366656" w:rsidP="007476A6">
            <w:pPr>
              <w:rPr>
                <w:color w:val="auto"/>
              </w:rPr>
            </w:pPr>
            <w:r w:rsidRPr="00E31E83">
              <w:rPr>
                <w:color w:val="auto"/>
              </w:rPr>
              <w:t>1.1</w:t>
            </w:r>
          </w:p>
        </w:tc>
      </w:tr>
      <w:tr w:rsidR="00366656" w:rsidRPr="006A7549" w:rsidTr="00FF3E12">
        <w:tc>
          <w:tcPr>
            <w:tcW w:w="759" w:type="dxa"/>
            <w:tcBorders>
              <w:top w:val="single" w:sz="2" w:space="0" w:color="4F8ABE"/>
              <w:bottom w:val="single" w:sz="2" w:space="0" w:color="4F8ABE"/>
            </w:tcBorders>
            <w:shd w:val="clear" w:color="auto" w:fill="F2F5F7"/>
          </w:tcPr>
          <w:p w:rsidR="00FF3E12" w:rsidRPr="00BC5771" w:rsidRDefault="00366656" w:rsidP="00FF3E12">
            <w:r w:rsidRPr="00BC5771">
              <w:t>10</w:t>
            </w:r>
          </w:p>
        </w:tc>
        <w:tc>
          <w:tcPr>
            <w:tcW w:w="851" w:type="dxa"/>
            <w:tcBorders>
              <w:top w:val="single" w:sz="2" w:space="0" w:color="4F8ABE"/>
              <w:bottom w:val="single" w:sz="2" w:space="0" w:color="4F8ABE"/>
            </w:tcBorders>
            <w:shd w:val="clear" w:color="auto" w:fill="F2F5F7"/>
          </w:tcPr>
          <w:p w:rsidR="00FF3E12" w:rsidRPr="00BC5771" w:rsidRDefault="00366656" w:rsidP="00FF3E12">
            <w:r w:rsidRPr="00BC5771">
              <w:t>12</w:t>
            </w:r>
          </w:p>
        </w:tc>
        <w:tc>
          <w:tcPr>
            <w:tcW w:w="1275" w:type="dxa"/>
            <w:tcBorders>
              <w:top w:val="single" w:sz="2" w:space="0" w:color="4F8ABE"/>
              <w:bottom w:val="single" w:sz="2" w:space="0" w:color="4F8ABE"/>
            </w:tcBorders>
            <w:shd w:val="clear" w:color="auto" w:fill="F2F5F7"/>
          </w:tcPr>
          <w:p w:rsidR="00FF3E12" w:rsidRPr="00BC5771" w:rsidRDefault="00366656" w:rsidP="00FF3E12">
            <w:r w:rsidRPr="00BC5771">
              <w:t>Russia</w:t>
            </w:r>
          </w:p>
        </w:tc>
        <w:tc>
          <w:tcPr>
            <w:tcW w:w="1134" w:type="dxa"/>
            <w:tcBorders>
              <w:top w:val="single" w:sz="2" w:space="0" w:color="4F8ABE"/>
              <w:bottom w:val="single" w:sz="2" w:space="0" w:color="4F8ABE"/>
            </w:tcBorders>
            <w:shd w:val="clear" w:color="auto" w:fill="F2F5F7"/>
          </w:tcPr>
          <w:p w:rsidR="00FF3E12" w:rsidRPr="00BC5771" w:rsidRDefault="00366656" w:rsidP="00FF3E12">
            <w:r w:rsidRPr="00BC5771">
              <w:t>Moscow</w:t>
            </w:r>
          </w:p>
        </w:tc>
        <w:tc>
          <w:tcPr>
            <w:tcW w:w="1701" w:type="dxa"/>
            <w:tcBorders>
              <w:top w:val="single" w:sz="2" w:space="0" w:color="4F8ABE"/>
              <w:bottom w:val="single" w:sz="2" w:space="0" w:color="4F8ABE"/>
            </w:tcBorders>
            <w:shd w:val="clear" w:color="auto" w:fill="F2F5F7"/>
          </w:tcPr>
          <w:p w:rsidR="00FF3E12" w:rsidRPr="00BC5771" w:rsidRDefault="00366656" w:rsidP="00FF3E12">
            <w:proofErr w:type="spellStart"/>
            <w:r w:rsidRPr="00BC5771">
              <w:t>Stoleshnikov</w:t>
            </w:r>
            <w:proofErr w:type="spellEnd"/>
          </w:p>
        </w:tc>
        <w:tc>
          <w:tcPr>
            <w:tcW w:w="993" w:type="dxa"/>
            <w:tcBorders>
              <w:top w:val="single" w:sz="2" w:space="0" w:color="4F8ABE"/>
              <w:bottom w:val="single" w:sz="2" w:space="0" w:color="4F8ABE"/>
            </w:tcBorders>
            <w:shd w:val="clear" w:color="auto" w:fill="F2F5F7"/>
          </w:tcPr>
          <w:p w:rsidR="00FF3E12" w:rsidRPr="00BC5771" w:rsidRDefault="00366656" w:rsidP="00FF3E12">
            <w:r w:rsidRPr="00BC5771">
              <w:t>4,749</w:t>
            </w:r>
          </w:p>
        </w:tc>
        <w:tc>
          <w:tcPr>
            <w:tcW w:w="992" w:type="dxa"/>
            <w:tcBorders>
              <w:top w:val="single" w:sz="2" w:space="0" w:color="4F8ABE"/>
              <w:bottom w:val="single" w:sz="2" w:space="0" w:color="4F8ABE"/>
            </w:tcBorders>
            <w:shd w:val="clear" w:color="auto" w:fill="F2F5F7"/>
          </w:tcPr>
          <w:p w:rsidR="00FF3E12" w:rsidRPr="00BC5771" w:rsidRDefault="00366656" w:rsidP="00FF3E12">
            <w:r w:rsidRPr="00BC5771">
              <w:t>557</w:t>
            </w:r>
          </w:p>
        </w:tc>
        <w:tc>
          <w:tcPr>
            <w:tcW w:w="1276" w:type="dxa"/>
            <w:tcBorders>
              <w:top w:val="single" w:sz="2" w:space="0" w:color="4F8ABE"/>
              <w:bottom w:val="single" w:sz="2" w:space="0" w:color="4F8ABE"/>
            </w:tcBorders>
            <w:shd w:val="clear" w:color="auto" w:fill="F2F5F7"/>
          </w:tcPr>
          <w:p w:rsidR="00FF3E12" w:rsidRPr="00BC5771" w:rsidRDefault="00366656" w:rsidP="00FF3E12">
            <w:pPr>
              <w:rPr>
                <w:color w:val="FF0000"/>
                <w:highlight w:val="yellow"/>
              </w:rPr>
            </w:pPr>
            <w:r w:rsidRPr="00E31E83">
              <w:rPr>
                <w:color w:val="auto"/>
              </w:rPr>
              <w:t>20</w:t>
            </w:r>
            <w:r w:rsidR="008065D2">
              <w:rPr>
                <w:color w:val="auto"/>
              </w:rPr>
              <w:t>.0</w:t>
            </w:r>
          </w:p>
        </w:tc>
      </w:tr>
      <w:tr w:rsidR="00FF3E12" w:rsidRPr="006A7549" w:rsidTr="007476A6">
        <w:tc>
          <w:tcPr>
            <w:tcW w:w="759" w:type="dxa"/>
            <w:tcBorders>
              <w:top w:val="single" w:sz="2" w:space="0" w:color="4F8ABE"/>
            </w:tcBorders>
            <w:shd w:val="clear" w:color="auto" w:fill="F2F5F7"/>
          </w:tcPr>
          <w:p w:rsidR="00FF3E12" w:rsidRPr="00FF3E12" w:rsidRDefault="00FF3E12" w:rsidP="007476A6">
            <w:pPr>
              <w:rPr>
                <w:color w:val="FF0000"/>
              </w:rPr>
            </w:pPr>
            <w:r w:rsidRPr="00FF3E12">
              <w:rPr>
                <w:color w:val="FF0000"/>
              </w:rPr>
              <w:t>44</w:t>
            </w:r>
          </w:p>
        </w:tc>
        <w:tc>
          <w:tcPr>
            <w:tcW w:w="851" w:type="dxa"/>
            <w:tcBorders>
              <w:top w:val="single" w:sz="2" w:space="0" w:color="4F8ABE"/>
            </w:tcBorders>
            <w:shd w:val="clear" w:color="auto" w:fill="F2F5F7"/>
          </w:tcPr>
          <w:p w:rsidR="00FF3E12" w:rsidRPr="00FF3E12" w:rsidRDefault="00FF3E12" w:rsidP="007476A6">
            <w:pPr>
              <w:rPr>
                <w:color w:val="FF0000"/>
              </w:rPr>
            </w:pPr>
            <w:r w:rsidRPr="00FF3E12">
              <w:rPr>
                <w:color w:val="FF0000"/>
              </w:rPr>
              <w:t>45</w:t>
            </w:r>
          </w:p>
        </w:tc>
        <w:tc>
          <w:tcPr>
            <w:tcW w:w="1275" w:type="dxa"/>
            <w:tcBorders>
              <w:top w:val="single" w:sz="2" w:space="0" w:color="4F8ABE"/>
            </w:tcBorders>
            <w:shd w:val="clear" w:color="auto" w:fill="F2F5F7"/>
          </w:tcPr>
          <w:p w:rsidR="00FF3E12" w:rsidRPr="00FF3E12" w:rsidRDefault="00FF3E12" w:rsidP="007476A6">
            <w:pPr>
              <w:rPr>
                <w:color w:val="FF0000"/>
              </w:rPr>
            </w:pPr>
            <w:r w:rsidRPr="00FF3E12">
              <w:rPr>
                <w:color w:val="FF0000"/>
              </w:rPr>
              <w:t>Poland</w:t>
            </w:r>
          </w:p>
        </w:tc>
        <w:tc>
          <w:tcPr>
            <w:tcW w:w="1134" w:type="dxa"/>
            <w:tcBorders>
              <w:top w:val="single" w:sz="2" w:space="0" w:color="4F8ABE"/>
            </w:tcBorders>
            <w:shd w:val="clear" w:color="auto" w:fill="F2F5F7"/>
          </w:tcPr>
          <w:p w:rsidR="00FF3E12" w:rsidRPr="00FF3E12" w:rsidRDefault="00FF3E12" w:rsidP="007476A6">
            <w:pPr>
              <w:rPr>
                <w:color w:val="FF0000"/>
              </w:rPr>
            </w:pPr>
            <w:r w:rsidRPr="00FF3E12">
              <w:rPr>
                <w:color w:val="FF0000"/>
              </w:rPr>
              <w:t>Warsaw</w:t>
            </w:r>
          </w:p>
        </w:tc>
        <w:tc>
          <w:tcPr>
            <w:tcW w:w="1701" w:type="dxa"/>
            <w:tcBorders>
              <w:top w:val="single" w:sz="2" w:space="0" w:color="4F8ABE"/>
            </w:tcBorders>
            <w:shd w:val="clear" w:color="auto" w:fill="F2F5F7"/>
          </w:tcPr>
          <w:p w:rsidR="00FF3E12" w:rsidRPr="00FF3E12" w:rsidRDefault="00FF3E12" w:rsidP="007476A6">
            <w:pPr>
              <w:rPr>
                <w:color w:val="FF0000"/>
              </w:rPr>
            </w:pPr>
            <w:proofErr w:type="spellStart"/>
            <w:r w:rsidRPr="00FF3E12">
              <w:rPr>
                <w:color w:val="FF0000"/>
              </w:rPr>
              <w:t>Nowy</w:t>
            </w:r>
            <w:proofErr w:type="spellEnd"/>
            <w:r w:rsidRPr="00FF3E12">
              <w:rPr>
                <w:color w:val="FF0000"/>
              </w:rPr>
              <w:t xml:space="preserve"> </w:t>
            </w:r>
            <w:proofErr w:type="spellStart"/>
            <w:r w:rsidRPr="00FF3E12">
              <w:rPr>
                <w:color w:val="FF0000"/>
              </w:rPr>
              <w:t>Swiat</w:t>
            </w:r>
            <w:proofErr w:type="spellEnd"/>
          </w:p>
        </w:tc>
        <w:tc>
          <w:tcPr>
            <w:tcW w:w="993" w:type="dxa"/>
            <w:tcBorders>
              <w:top w:val="single" w:sz="2" w:space="0" w:color="4F8ABE"/>
            </w:tcBorders>
            <w:shd w:val="clear" w:color="auto" w:fill="F2F5F7"/>
          </w:tcPr>
          <w:p w:rsidR="00FF3E12" w:rsidRPr="00FF3E12" w:rsidRDefault="00FF3E12" w:rsidP="007476A6">
            <w:pPr>
              <w:rPr>
                <w:color w:val="FF0000"/>
              </w:rPr>
            </w:pPr>
            <w:r w:rsidRPr="00FF3E12">
              <w:rPr>
                <w:color w:val="FF0000"/>
              </w:rPr>
              <w:t>1,020</w:t>
            </w:r>
          </w:p>
        </w:tc>
        <w:tc>
          <w:tcPr>
            <w:tcW w:w="992" w:type="dxa"/>
            <w:tcBorders>
              <w:top w:val="single" w:sz="2" w:space="0" w:color="4F8ABE"/>
            </w:tcBorders>
            <w:shd w:val="clear" w:color="auto" w:fill="F2F5F7"/>
          </w:tcPr>
          <w:p w:rsidR="00FF3E12" w:rsidRPr="00FF3E12" w:rsidRDefault="00FF3E12" w:rsidP="007476A6">
            <w:pPr>
              <w:rPr>
                <w:color w:val="FF0000"/>
              </w:rPr>
            </w:pPr>
            <w:r w:rsidRPr="00FF3E12">
              <w:rPr>
                <w:color w:val="FF0000"/>
              </w:rPr>
              <w:t>120</w:t>
            </w:r>
          </w:p>
        </w:tc>
        <w:tc>
          <w:tcPr>
            <w:tcW w:w="1276" w:type="dxa"/>
            <w:tcBorders>
              <w:top w:val="single" w:sz="2" w:space="0" w:color="4F8ABE"/>
            </w:tcBorders>
            <w:shd w:val="clear" w:color="auto" w:fill="F2F5F7"/>
          </w:tcPr>
          <w:p w:rsidR="00FF3E12" w:rsidRPr="00FF3E12" w:rsidRDefault="00FF3E12" w:rsidP="007476A6">
            <w:pPr>
              <w:rPr>
                <w:color w:val="FF0000"/>
              </w:rPr>
            </w:pPr>
            <w:r>
              <w:rPr>
                <w:color w:val="FF0000"/>
              </w:rPr>
              <w:t>2.</w:t>
            </w:r>
            <w:r w:rsidRPr="00FF3E12">
              <w:rPr>
                <w:color w:val="FF0000"/>
              </w:rPr>
              <w:t>4</w:t>
            </w:r>
          </w:p>
        </w:tc>
      </w:tr>
    </w:tbl>
    <w:p w:rsidR="00366656" w:rsidRDefault="00CE246C" w:rsidP="00366656">
      <w:pPr>
        <w:spacing w:line="360" w:lineRule="auto"/>
        <w:rPr>
          <w:rFonts w:ascii="Arial" w:hAnsi="Arial" w:cs="Arial"/>
          <w:i/>
          <w:color w:val="auto"/>
          <w:sz w:val="16"/>
          <w:szCs w:val="16"/>
        </w:rPr>
      </w:pPr>
      <w:r>
        <w:rPr>
          <w:rFonts w:ascii="Arial" w:hAnsi="Arial" w:cs="Arial"/>
          <w:i/>
          <w:color w:val="auto"/>
          <w:sz w:val="16"/>
          <w:szCs w:val="16"/>
        </w:rPr>
        <w:t xml:space="preserve"> </w:t>
      </w:r>
      <w:r w:rsidR="00366656" w:rsidRPr="00F90183">
        <w:rPr>
          <w:rFonts w:ascii="Arial" w:hAnsi="Arial" w:cs="Arial"/>
          <w:i/>
          <w:color w:val="auto"/>
          <w:sz w:val="16"/>
          <w:szCs w:val="16"/>
        </w:rPr>
        <w:t xml:space="preserve">Source: Cushman &amp; Wakefield (Lists only </w:t>
      </w:r>
      <w:r w:rsidR="00366656">
        <w:rPr>
          <w:rFonts w:ascii="Arial" w:hAnsi="Arial" w:cs="Arial"/>
          <w:i/>
          <w:color w:val="auto"/>
          <w:sz w:val="16"/>
          <w:szCs w:val="16"/>
        </w:rPr>
        <w:t>one location in each country – f</w:t>
      </w:r>
      <w:r w:rsidR="00366656" w:rsidRPr="00F90183">
        <w:rPr>
          <w:rFonts w:ascii="Arial" w:hAnsi="Arial" w:cs="Arial"/>
          <w:i/>
          <w:color w:val="auto"/>
          <w:sz w:val="16"/>
          <w:szCs w:val="16"/>
        </w:rPr>
        <w:t>ull ranking contained in the report)</w:t>
      </w:r>
    </w:p>
    <w:p w:rsidR="00366656" w:rsidRDefault="00366656" w:rsidP="00CE246C">
      <w:pPr>
        <w:spacing w:line="360" w:lineRule="auto"/>
        <w:rPr>
          <w:rFonts w:ascii="Arial" w:hAnsi="Arial" w:cs="Arial"/>
          <w:szCs w:val="20"/>
        </w:rPr>
      </w:pPr>
      <w:r w:rsidRPr="00824F8A">
        <w:rPr>
          <w:rFonts w:ascii="Arial" w:hAnsi="Arial" w:cs="Arial"/>
          <w:i/>
          <w:color w:val="FF0000"/>
          <w:sz w:val="16"/>
          <w:szCs w:val="16"/>
        </w:rPr>
        <w:t>*</w:t>
      </w:r>
      <w:r w:rsidR="001F1BED" w:rsidRPr="001F1BED">
        <w:rPr>
          <w:rFonts w:ascii="Arial" w:hAnsi="Arial" w:cs="Arial"/>
          <w:i/>
          <w:color w:val="auto"/>
          <w:sz w:val="16"/>
          <w:szCs w:val="16"/>
        </w:rPr>
        <w:t>To reflect the emergence of two distinct submarkets</w:t>
      </w:r>
      <w:r w:rsidR="004B1B43">
        <w:rPr>
          <w:rFonts w:ascii="Arial" w:hAnsi="Arial" w:cs="Arial"/>
          <w:i/>
          <w:color w:val="auto"/>
          <w:sz w:val="16"/>
          <w:szCs w:val="16"/>
        </w:rPr>
        <w:t xml:space="preserve"> this year</w:t>
      </w:r>
      <w:r w:rsidR="001F1BED" w:rsidRPr="001F1BED">
        <w:rPr>
          <w:rFonts w:ascii="Arial" w:hAnsi="Arial" w:cs="Arial"/>
          <w:i/>
          <w:color w:val="auto"/>
          <w:sz w:val="16"/>
          <w:szCs w:val="16"/>
        </w:rPr>
        <w:t xml:space="preserve">, </w:t>
      </w:r>
      <w:r w:rsidRPr="001F1BED">
        <w:rPr>
          <w:rFonts w:ascii="Arial" w:hAnsi="Arial" w:cs="Arial"/>
          <w:i/>
          <w:color w:val="auto"/>
          <w:sz w:val="16"/>
          <w:szCs w:val="16"/>
        </w:rPr>
        <w:t xml:space="preserve">New </w:t>
      </w:r>
      <w:r>
        <w:rPr>
          <w:rFonts w:ascii="Arial" w:hAnsi="Arial" w:cs="Arial"/>
          <w:i/>
          <w:color w:val="auto"/>
          <w:sz w:val="16"/>
          <w:szCs w:val="16"/>
        </w:rPr>
        <w:t>Yor</w:t>
      </w:r>
      <w:r w:rsidR="001F1BED">
        <w:rPr>
          <w:rFonts w:ascii="Arial" w:hAnsi="Arial" w:cs="Arial"/>
          <w:i/>
          <w:color w:val="auto"/>
          <w:sz w:val="16"/>
          <w:szCs w:val="16"/>
        </w:rPr>
        <w:t xml:space="preserve">k’s Fifth Avenue was split into </w:t>
      </w:r>
      <w:r>
        <w:rPr>
          <w:rFonts w:ascii="Arial" w:hAnsi="Arial" w:cs="Arial"/>
          <w:i/>
          <w:color w:val="auto"/>
          <w:sz w:val="16"/>
          <w:szCs w:val="16"/>
        </w:rPr>
        <w:t>‘Upper Fifth Avenue’ and ‘Lower Fifth Avenue’</w:t>
      </w:r>
    </w:p>
    <w:p w:rsidR="00BD6687" w:rsidRPr="00F96A5C" w:rsidRDefault="008E4761" w:rsidP="00B64863">
      <w:pPr>
        <w:pStyle w:val="Akapitzlist"/>
        <w:ind w:left="0"/>
        <w:rPr>
          <w:rFonts w:ascii="Arial" w:hAnsi="Arial" w:cs="Arial"/>
          <w:sz w:val="20"/>
        </w:rPr>
      </w:pPr>
      <w:r>
        <w:rPr>
          <w:rFonts w:ascii="Arial" w:hAnsi="Arial" w:cs="Arial"/>
          <w:sz w:val="20"/>
        </w:rPr>
        <w:br/>
      </w:r>
      <w:r w:rsidR="00BD6687" w:rsidRPr="00F96A5C">
        <w:rPr>
          <w:rFonts w:ascii="Arial" w:hAnsi="Arial" w:cs="Arial"/>
          <w:sz w:val="20"/>
        </w:rPr>
        <w:t>Despite seeing no change to rental values</w:t>
      </w:r>
      <w:r w:rsidR="00B64863">
        <w:rPr>
          <w:rFonts w:ascii="Arial" w:hAnsi="Arial" w:cs="Arial"/>
          <w:sz w:val="20"/>
        </w:rPr>
        <w:t xml:space="preserve"> after a 40% rise last year</w:t>
      </w:r>
      <w:r w:rsidR="00BD6687" w:rsidRPr="00F96A5C">
        <w:rPr>
          <w:rFonts w:ascii="Arial" w:hAnsi="Arial" w:cs="Arial"/>
          <w:sz w:val="20"/>
        </w:rPr>
        <w:t xml:space="preserve">, Champs-Élysées in Paris retained its third place, which was followed by London’s New Bond Street </w:t>
      </w:r>
      <w:r w:rsidR="00B64863">
        <w:rPr>
          <w:rFonts w:ascii="Arial" w:hAnsi="Arial" w:cs="Arial"/>
          <w:sz w:val="20"/>
        </w:rPr>
        <w:t>in fourth</w:t>
      </w:r>
      <w:r w:rsidR="00AC4D91">
        <w:rPr>
          <w:rFonts w:ascii="Arial" w:hAnsi="Arial" w:cs="Arial"/>
          <w:sz w:val="20"/>
        </w:rPr>
        <w:t xml:space="preserve"> where rents rose by 4.2%</w:t>
      </w:r>
      <w:r w:rsidR="00B64863">
        <w:rPr>
          <w:rFonts w:ascii="Arial" w:hAnsi="Arial" w:cs="Arial"/>
          <w:sz w:val="20"/>
        </w:rPr>
        <w:t xml:space="preserve">.  </w:t>
      </w:r>
      <w:r w:rsidR="00BD6687" w:rsidRPr="00F96A5C">
        <w:rPr>
          <w:rFonts w:ascii="Arial" w:hAnsi="Arial" w:cs="Arial"/>
          <w:sz w:val="20"/>
        </w:rPr>
        <w:t>Pitt Street Mall in Sydney completed the top five, with the location surging up three places as it recorded an increase of 25% on the back of a several international retailers taking up large units in the last six months.</w:t>
      </w:r>
    </w:p>
    <w:p w:rsidR="00747E46" w:rsidRDefault="00BD6687" w:rsidP="00BD6687">
      <w:pPr>
        <w:pStyle w:val="Akapitzlist"/>
        <w:ind w:left="0"/>
        <w:rPr>
          <w:rFonts w:ascii="Arial" w:hAnsi="Arial" w:cs="Arial"/>
          <w:sz w:val="20"/>
        </w:rPr>
      </w:pPr>
      <w:r w:rsidRPr="00F96A5C">
        <w:rPr>
          <w:rFonts w:ascii="Arial" w:hAnsi="Arial" w:cs="Arial"/>
          <w:sz w:val="20"/>
        </w:rPr>
        <w:t>The Americas yet again led the way as prime rental values surged ahead by 5.8%, an identical rate to that recorded in 2012/2013. The</w:t>
      </w:r>
      <w:r w:rsidR="00360714">
        <w:rPr>
          <w:rFonts w:ascii="Arial" w:hAnsi="Arial" w:cs="Arial"/>
          <w:sz w:val="20"/>
        </w:rPr>
        <w:t xml:space="preserve"> U</w:t>
      </w:r>
      <w:r w:rsidRPr="00F96A5C">
        <w:rPr>
          <w:rFonts w:ascii="Arial" w:hAnsi="Arial" w:cs="Arial"/>
          <w:sz w:val="20"/>
        </w:rPr>
        <w:t>S and Mexico were the main catalysts behind</w:t>
      </w:r>
      <w:r w:rsidR="00360714">
        <w:rPr>
          <w:rFonts w:ascii="Arial" w:hAnsi="Arial" w:cs="Arial"/>
          <w:sz w:val="20"/>
        </w:rPr>
        <w:t xml:space="preserve"> this expansion, while </w:t>
      </w:r>
      <w:r w:rsidRPr="00F96A5C">
        <w:rPr>
          <w:rFonts w:ascii="Arial" w:hAnsi="Arial" w:cs="Arial"/>
          <w:sz w:val="20"/>
        </w:rPr>
        <w:t>B</w:t>
      </w:r>
      <w:r w:rsidR="003A1261">
        <w:rPr>
          <w:rFonts w:ascii="Arial" w:hAnsi="Arial" w:cs="Arial"/>
          <w:sz w:val="20"/>
        </w:rPr>
        <w:t xml:space="preserve">razil acted as a drag on growth.  </w:t>
      </w:r>
    </w:p>
    <w:p w:rsidR="000372D4" w:rsidRDefault="00747E46" w:rsidP="000372D4">
      <w:pPr>
        <w:rPr>
          <w:rFonts w:ascii="Arial" w:hAnsi="Arial" w:cs="Arial"/>
        </w:rPr>
      </w:pPr>
      <w:r w:rsidRPr="00B53DF6">
        <w:rPr>
          <w:rFonts w:ascii="Arial" w:hAnsi="Arial" w:cs="Arial"/>
          <w:b/>
        </w:rPr>
        <w:t>Cushman &amp; Wakefield’s global retail COO and head of retail in the Americas</w:t>
      </w:r>
      <w:r w:rsidRPr="00B53DF6">
        <w:rPr>
          <w:rFonts w:ascii="Arial" w:hAnsi="Arial" w:cs="Arial"/>
        </w:rPr>
        <w:t>,</w:t>
      </w:r>
      <w:r w:rsidRPr="00B53DF6">
        <w:rPr>
          <w:rFonts w:ascii="Arial" w:hAnsi="Arial" w:cs="Arial"/>
          <w:b/>
        </w:rPr>
        <w:t xml:space="preserve"> Matt Winn</w:t>
      </w:r>
      <w:r w:rsidRPr="00B53DF6">
        <w:rPr>
          <w:rFonts w:ascii="Arial" w:hAnsi="Arial" w:cs="Arial"/>
        </w:rPr>
        <w:t xml:space="preserve">, said: </w:t>
      </w:r>
      <w:r w:rsidRPr="00AA46FC">
        <w:rPr>
          <w:rFonts w:ascii="Arial" w:hAnsi="Arial" w:cs="Arial"/>
          <w:i/>
        </w:rPr>
        <w:t>“Positive economic news, combined with healthy retailer fundamentals, continued to filter through into the US</w:t>
      </w:r>
      <w:r w:rsidRPr="00AA46FC">
        <w:rPr>
          <w:rFonts w:ascii="Arial" w:hAnsi="Arial" w:cs="Arial"/>
          <w:b/>
          <w:i/>
        </w:rPr>
        <w:t xml:space="preserve"> </w:t>
      </w:r>
      <w:r w:rsidRPr="00AA46FC">
        <w:rPr>
          <w:rFonts w:ascii="Arial" w:hAnsi="Arial" w:cs="Arial"/>
          <w:i/>
        </w:rPr>
        <w:t xml:space="preserve">retail market.  Prime rents over the year to September were up an impressive 10.6% on the same period last year.  Indeed, strong retailer demand and robust tourist numbers continued to support expansions across the country, with gateway cities such a Los Angeles, San Francisco and New York in particular witnessing double-digit growth.  The arrival of brands such as </w:t>
      </w:r>
      <w:r w:rsidR="004F0EEA">
        <w:rPr>
          <w:rFonts w:ascii="Arial" w:hAnsi="Arial" w:cs="Arial"/>
          <w:i/>
        </w:rPr>
        <w:t>Microsoft, which recently announced</w:t>
      </w:r>
      <w:r w:rsidRPr="00AA46FC">
        <w:rPr>
          <w:rFonts w:ascii="Arial" w:hAnsi="Arial" w:cs="Arial"/>
          <w:i/>
        </w:rPr>
        <w:t xml:space="preserve"> its first flagship store in New York’s </w:t>
      </w:r>
      <w:r w:rsidR="008C39AF">
        <w:rPr>
          <w:rFonts w:ascii="Arial" w:hAnsi="Arial" w:cs="Arial"/>
          <w:i/>
        </w:rPr>
        <w:t xml:space="preserve">Upper </w:t>
      </w:r>
      <w:r w:rsidRPr="00AA46FC">
        <w:rPr>
          <w:rFonts w:ascii="Arial" w:hAnsi="Arial" w:cs="Arial"/>
          <w:i/>
        </w:rPr>
        <w:t>Fifth Avenue, further underlined the importance of these premier shopping destinations.”</w:t>
      </w:r>
      <w:r w:rsidRPr="00B53DF6">
        <w:rPr>
          <w:rFonts w:ascii="Arial" w:hAnsi="Arial" w:cs="Arial"/>
        </w:rPr>
        <w:t xml:space="preserve"> </w:t>
      </w:r>
    </w:p>
    <w:p w:rsidR="000372D4" w:rsidRDefault="000372D4" w:rsidP="000372D4">
      <w:pPr>
        <w:rPr>
          <w:rFonts w:ascii="Arial" w:hAnsi="Arial" w:cs="Arial"/>
        </w:rPr>
      </w:pPr>
    </w:p>
    <w:p w:rsidR="00747E46" w:rsidRDefault="00BD6687" w:rsidP="000372D4">
      <w:pPr>
        <w:rPr>
          <w:rFonts w:ascii="Arial" w:hAnsi="Arial" w:cs="Arial"/>
        </w:rPr>
      </w:pPr>
      <w:r w:rsidRPr="00F96A5C">
        <w:rPr>
          <w:rFonts w:ascii="Arial" w:hAnsi="Arial" w:cs="Arial"/>
        </w:rPr>
        <w:t xml:space="preserve">A slower expansion was also evident in Asia Pacific (3.6%) where the traditionally buoyant Hong Kong market was adversely affected by a decline in retail spending and </w:t>
      </w:r>
      <w:r w:rsidRPr="00BD6687">
        <w:rPr>
          <w:rFonts w:ascii="Arial" w:hAnsi="Arial" w:cs="Arial"/>
        </w:rPr>
        <w:t>lower tourism growth</w:t>
      </w:r>
      <w:r w:rsidRPr="00F96A5C">
        <w:rPr>
          <w:rFonts w:ascii="Arial" w:hAnsi="Arial" w:cs="Arial"/>
        </w:rPr>
        <w:t xml:space="preserve">. </w:t>
      </w:r>
    </w:p>
    <w:p w:rsidR="000372D4" w:rsidRPr="008E7CFA" w:rsidRDefault="000372D4" w:rsidP="000372D4">
      <w:pPr>
        <w:rPr>
          <w:rFonts w:ascii="Arial" w:hAnsi="Arial" w:cs="Arial"/>
        </w:rPr>
      </w:pPr>
    </w:p>
    <w:p w:rsidR="00C9495F" w:rsidRPr="006B64F5" w:rsidRDefault="008E7CFA" w:rsidP="00C9495F">
      <w:pPr>
        <w:rPr>
          <w:rFonts w:ascii="Arial" w:hAnsi="Arial" w:cs="Arial"/>
          <w:i/>
        </w:rPr>
      </w:pPr>
      <w:r>
        <w:rPr>
          <w:rFonts w:ascii="Arial" w:hAnsi="Arial" w:cs="Arial"/>
          <w:b/>
          <w:color w:val="auto"/>
        </w:rPr>
        <w:t xml:space="preserve">James Hawkey, head of retail in Asia Pacific at </w:t>
      </w:r>
      <w:r w:rsidR="004E0E5F">
        <w:rPr>
          <w:rFonts w:ascii="Arial" w:hAnsi="Arial" w:cs="Arial"/>
          <w:b/>
          <w:color w:val="auto"/>
        </w:rPr>
        <w:t>Cushman &amp; Wakefield</w:t>
      </w:r>
      <w:r w:rsidR="000372D4" w:rsidRPr="004B0242">
        <w:rPr>
          <w:rFonts w:ascii="Arial" w:hAnsi="Arial" w:cs="Arial"/>
          <w:color w:val="auto"/>
        </w:rPr>
        <w:t xml:space="preserve">, said: </w:t>
      </w:r>
      <w:r w:rsidR="003D47BA" w:rsidRPr="00CD359F">
        <w:rPr>
          <w:rFonts w:ascii="Arial" w:hAnsi="Arial" w:cs="Arial"/>
          <w:i/>
        </w:rPr>
        <w:t>“Although New York took first place this year, Hong Kong’s Causeway Bay remains the second most expensive retail location on</w:t>
      </w:r>
      <w:r w:rsidR="003339AE">
        <w:rPr>
          <w:rFonts w:ascii="Arial" w:hAnsi="Arial" w:cs="Arial"/>
          <w:i/>
        </w:rPr>
        <w:t xml:space="preserve"> earth.  In 2014, </w:t>
      </w:r>
      <w:r w:rsidR="00CD359F">
        <w:rPr>
          <w:rFonts w:ascii="Arial" w:hAnsi="Arial" w:cs="Arial"/>
          <w:i/>
        </w:rPr>
        <w:t xml:space="preserve">retailers </w:t>
      </w:r>
      <w:r w:rsidR="003D47BA" w:rsidRPr="00CD359F">
        <w:rPr>
          <w:rFonts w:ascii="Arial" w:hAnsi="Arial" w:cs="Arial"/>
          <w:i/>
        </w:rPr>
        <w:t>showed caution expanding in Hong Kong in the face of moderating sales performance and less exuberant consumption from m</w:t>
      </w:r>
      <w:r w:rsidR="003339AE">
        <w:rPr>
          <w:rFonts w:ascii="Arial" w:hAnsi="Arial" w:cs="Arial"/>
          <w:i/>
        </w:rPr>
        <w:t xml:space="preserve">ainland visitors.  </w:t>
      </w:r>
      <w:r w:rsidR="003D47BA" w:rsidRPr="00CD359F">
        <w:rPr>
          <w:rFonts w:ascii="Arial" w:hAnsi="Arial" w:cs="Arial"/>
          <w:i/>
        </w:rPr>
        <w:t xml:space="preserve">Luxury brands were conservative, while watch and jewellery retailers notably cut back on new stores, with this </w:t>
      </w:r>
      <w:r w:rsidR="003339AE">
        <w:rPr>
          <w:rFonts w:ascii="Arial" w:hAnsi="Arial" w:cs="Arial"/>
          <w:i/>
        </w:rPr>
        <w:t xml:space="preserve">sector seeing negative growth.  </w:t>
      </w:r>
      <w:r w:rsidR="003D47BA" w:rsidRPr="00CD359F">
        <w:rPr>
          <w:rFonts w:ascii="Arial" w:hAnsi="Arial" w:cs="Arial"/>
          <w:i/>
        </w:rPr>
        <w:t>Several leading local retailers recorded lower holiday sales.  The beginning of the ‘Occupy Central’ protest in Hong Kong since the end of September has further weakened the retail sentiment in major core retail areas, especially in Causeway Bay and Mong Kok where students are still blocking some major roads.”</w:t>
      </w:r>
    </w:p>
    <w:p w:rsidR="00C9495F" w:rsidRDefault="00C9495F" w:rsidP="008F3A98">
      <w:pPr>
        <w:rPr>
          <w:rFonts w:ascii="Arial" w:hAnsi="Arial" w:cs="Arial"/>
          <w:i/>
        </w:rPr>
      </w:pPr>
    </w:p>
    <w:p w:rsidR="0047642D" w:rsidRDefault="0047642D" w:rsidP="008F3A98">
      <w:pPr>
        <w:rPr>
          <w:rFonts w:ascii="Arial" w:hAnsi="Arial" w:cs="Arial"/>
          <w:i/>
        </w:rPr>
      </w:pPr>
    </w:p>
    <w:p w:rsidR="003D47BA" w:rsidRDefault="003D47BA" w:rsidP="008F3A98">
      <w:pPr>
        <w:rPr>
          <w:rFonts w:ascii="Arial" w:hAnsi="Arial" w:cs="Arial"/>
          <w:i/>
        </w:rPr>
      </w:pPr>
    </w:p>
    <w:p w:rsidR="00EB4B00" w:rsidRDefault="00EB4B00" w:rsidP="008F3A98">
      <w:pPr>
        <w:rPr>
          <w:rFonts w:ascii="Arial" w:hAnsi="Arial" w:cs="Arial"/>
          <w:i/>
        </w:rPr>
      </w:pPr>
    </w:p>
    <w:p w:rsidR="00761770" w:rsidRPr="00580D90" w:rsidRDefault="00761770" w:rsidP="00761770">
      <w:pPr>
        <w:jc w:val="center"/>
        <w:rPr>
          <w:rFonts w:ascii="Arial" w:hAnsi="Arial" w:cs="Arial"/>
          <w:i/>
        </w:rPr>
      </w:pPr>
      <w:r w:rsidRPr="00580D90">
        <w:rPr>
          <w:rFonts w:ascii="Arial" w:hAnsi="Arial" w:cs="Arial"/>
          <w:i/>
        </w:rPr>
        <w:t>(Continued)</w:t>
      </w:r>
    </w:p>
    <w:p w:rsidR="008F3A98" w:rsidRPr="0041026D" w:rsidRDefault="00BD6687" w:rsidP="008F3A98">
      <w:pPr>
        <w:rPr>
          <w:rFonts w:ascii="Arial" w:hAnsi="Arial" w:cs="Arial"/>
        </w:rPr>
      </w:pPr>
      <w:r w:rsidRPr="0041026D">
        <w:rPr>
          <w:rFonts w:ascii="Arial" w:hAnsi="Arial" w:cs="Arial"/>
        </w:rPr>
        <w:t xml:space="preserve">Occupier conditions in the EMEA region were generally firmer and improved, evidenced by a stabilisation in markets previously witnessing marked declines in rents. However, EMEA growth </w:t>
      </w:r>
      <w:r w:rsidR="00C57B53">
        <w:rPr>
          <w:rFonts w:ascii="Arial" w:hAnsi="Arial" w:cs="Arial"/>
        </w:rPr>
        <w:lastRenderedPageBreak/>
        <w:t xml:space="preserve">(1.3%) </w:t>
      </w:r>
      <w:r w:rsidRPr="0041026D">
        <w:rPr>
          <w:rFonts w:ascii="Arial" w:hAnsi="Arial" w:cs="Arial"/>
        </w:rPr>
        <w:t xml:space="preserve">was held back by significant falls in the Middle East. Indeed, prime rental growth in Europe (2.3%) was not too dissimilar to 2012/2013. </w:t>
      </w:r>
    </w:p>
    <w:p w:rsidR="008F3A98" w:rsidRDefault="008F3A98" w:rsidP="008F3A98">
      <w:pPr>
        <w:rPr>
          <w:rFonts w:ascii="Arial" w:hAnsi="Arial" w:cs="Arial"/>
        </w:rPr>
      </w:pPr>
    </w:p>
    <w:p w:rsidR="000F135E" w:rsidRDefault="008F3A98" w:rsidP="000F135E">
      <w:pPr>
        <w:rPr>
          <w:rFonts w:ascii="Arial" w:hAnsi="Arial" w:cs="Arial"/>
          <w:i/>
        </w:rPr>
      </w:pPr>
      <w:r w:rsidRPr="0041026D">
        <w:rPr>
          <w:rFonts w:ascii="Arial" w:hAnsi="Arial" w:cs="Arial"/>
          <w:b/>
        </w:rPr>
        <w:t>Justin Taylor</w:t>
      </w:r>
      <w:r w:rsidRPr="0041026D">
        <w:rPr>
          <w:rFonts w:ascii="Arial" w:hAnsi="Arial" w:cs="Arial"/>
        </w:rPr>
        <w:t>,</w:t>
      </w:r>
      <w:r w:rsidRPr="0041026D">
        <w:rPr>
          <w:rFonts w:ascii="Arial" w:hAnsi="Arial" w:cs="Arial"/>
          <w:b/>
        </w:rPr>
        <w:t xml:space="preserve"> head of EMEA retail at Cushman &amp; Wakefield</w:t>
      </w:r>
      <w:r w:rsidRPr="0041026D">
        <w:rPr>
          <w:rFonts w:ascii="Arial" w:hAnsi="Arial" w:cs="Arial"/>
        </w:rPr>
        <w:t xml:space="preserve">, said: </w:t>
      </w:r>
      <w:r w:rsidRPr="0041026D">
        <w:rPr>
          <w:rFonts w:ascii="Arial" w:hAnsi="Arial" w:cs="Arial"/>
          <w:i/>
        </w:rPr>
        <w:t>“</w:t>
      </w:r>
      <w:r w:rsidR="00101D9B">
        <w:rPr>
          <w:rFonts w:ascii="Arial" w:hAnsi="Arial" w:cs="Arial"/>
          <w:i/>
        </w:rPr>
        <w:t>Europe’s gateway cities continue to thrive, while emerging markets are also seeing greater</w:t>
      </w:r>
      <w:r w:rsidR="00477D66">
        <w:rPr>
          <w:rFonts w:ascii="Arial" w:hAnsi="Arial" w:cs="Arial"/>
          <w:i/>
        </w:rPr>
        <w:t xml:space="preserve"> demand.  </w:t>
      </w:r>
      <w:r w:rsidR="00D3405A" w:rsidRPr="0041026D">
        <w:rPr>
          <w:rFonts w:ascii="Arial" w:hAnsi="Arial" w:cs="Arial"/>
          <w:i/>
        </w:rPr>
        <w:t>Countries such as Portugal, Ireland, Spain</w:t>
      </w:r>
      <w:r w:rsidR="002D45C2" w:rsidRPr="0041026D">
        <w:rPr>
          <w:rFonts w:ascii="Arial" w:hAnsi="Arial" w:cs="Arial"/>
          <w:i/>
        </w:rPr>
        <w:t xml:space="preserve"> </w:t>
      </w:r>
      <w:r w:rsidR="00D3405A" w:rsidRPr="0041026D">
        <w:rPr>
          <w:rFonts w:ascii="Arial" w:hAnsi="Arial" w:cs="Arial"/>
          <w:i/>
        </w:rPr>
        <w:t>and Greece which in previous surveys witnessed sharp falls, recorded good to strong growth in the 12 months to September.</w:t>
      </w:r>
      <w:r w:rsidR="00E018BD" w:rsidRPr="0041026D">
        <w:rPr>
          <w:rFonts w:ascii="Arial" w:hAnsi="Arial" w:cs="Arial"/>
          <w:i/>
          <w:iCs/>
          <w:color w:val="auto"/>
        </w:rPr>
        <w:t xml:space="preserve">  </w:t>
      </w:r>
      <w:r w:rsidR="00603023" w:rsidRPr="0041026D">
        <w:rPr>
          <w:rFonts w:ascii="Arial" w:hAnsi="Arial" w:cs="Arial"/>
          <w:i/>
          <w:iCs/>
          <w:color w:val="auto"/>
        </w:rPr>
        <w:t>Meanwhile, m</w:t>
      </w:r>
      <w:r w:rsidR="00D3405A" w:rsidRPr="0041026D">
        <w:rPr>
          <w:rFonts w:ascii="Arial" w:hAnsi="Arial" w:cs="Arial"/>
          <w:i/>
        </w:rPr>
        <w:t>ature core markets such as the UK, France and Germany continued to see good leasing activity, particularly in the prime segment</w:t>
      </w:r>
      <w:r w:rsidR="0041026D" w:rsidRPr="0041026D">
        <w:rPr>
          <w:rFonts w:ascii="Arial" w:hAnsi="Arial" w:cs="Arial"/>
          <w:i/>
        </w:rPr>
        <w:t xml:space="preserve">.  </w:t>
      </w:r>
      <w:r w:rsidR="00D3405A" w:rsidRPr="0041026D">
        <w:rPr>
          <w:rFonts w:ascii="Arial" w:hAnsi="Arial" w:cs="Arial"/>
          <w:i/>
        </w:rPr>
        <w:t>Indeed, exceptional luxury retailer demand in cities such as Paris and London, coupled with the very finite supply on offer, continued to exert upward pressure on rents in the best locations, but with large premiums also paid by new tenants t</w:t>
      </w:r>
      <w:r w:rsidR="0041026D" w:rsidRPr="0041026D">
        <w:rPr>
          <w:rFonts w:ascii="Arial" w:hAnsi="Arial" w:cs="Arial"/>
          <w:i/>
        </w:rPr>
        <w:t>o</w:t>
      </w:r>
      <w:r w:rsidR="007B214B">
        <w:rPr>
          <w:rFonts w:ascii="Arial" w:hAnsi="Arial" w:cs="Arial"/>
          <w:i/>
        </w:rPr>
        <w:t xml:space="preserve"> secure their preferred space.  </w:t>
      </w:r>
      <w:r w:rsidR="0031408B">
        <w:rPr>
          <w:rFonts w:ascii="Arial" w:hAnsi="Arial" w:cs="Arial"/>
          <w:i/>
        </w:rPr>
        <w:t xml:space="preserve">Turkey is also back in the spotlight with strong growth fuelled by </w:t>
      </w:r>
      <w:r w:rsidR="00D3405A" w:rsidRPr="0041026D">
        <w:rPr>
          <w:rFonts w:ascii="Arial" w:hAnsi="Arial" w:cs="Arial"/>
          <w:i/>
        </w:rPr>
        <w:t xml:space="preserve">healthy consumer spending, an expanding middle class, better quality retail space and the arrival </w:t>
      </w:r>
      <w:r w:rsidR="007B214B">
        <w:rPr>
          <w:rFonts w:ascii="Arial" w:hAnsi="Arial" w:cs="Arial"/>
          <w:i/>
        </w:rPr>
        <w:t>of more international retailers.”</w:t>
      </w:r>
    </w:p>
    <w:p w:rsidR="00184FAC" w:rsidRDefault="00184FAC" w:rsidP="000F135E">
      <w:pPr>
        <w:rPr>
          <w:rFonts w:ascii="Arial" w:hAnsi="Arial" w:cs="Arial"/>
          <w:i/>
        </w:rPr>
      </w:pPr>
    </w:p>
    <w:p w:rsidR="00184FAC" w:rsidRDefault="00184FAC" w:rsidP="000F135E">
      <w:pPr>
        <w:rPr>
          <w:rFonts w:ascii="Arial" w:hAnsi="Arial" w:cs="Arial"/>
          <w:i/>
        </w:rPr>
      </w:pPr>
      <w:r w:rsidRPr="00184FAC">
        <w:rPr>
          <w:rFonts w:ascii="Arial" w:hAnsi="Arial" w:cs="Arial"/>
          <w:b/>
        </w:rPr>
        <w:t>Martin Mahmuti</w:t>
      </w:r>
      <w:r w:rsidRPr="00184FAC">
        <w:rPr>
          <w:rFonts w:ascii="Arial" w:hAnsi="Arial" w:cs="Arial"/>
        </w:rPr>
        <w:t>,</w:t>
      </w:r>
      <w:r w:rsidRPr="00184FAC">
        <w:rPr>
          <w:rFonts w:ascii="Arial" w:hAnsi="Arial" w:cs="Arial"/>
          <w:b/>
        </w:rPr>
        <w:t xml:space="preserve"> a senior investment analyst at Cushman &amp; Wakefield</w:t>
      </w:r>
      <w:r w:rsidRPr="00184FAC">
        <w:rPr>
          <w:rFonts w:ascii="Arial" w:hAnsi="Arial" w:cs="Arial"/>
        </w:rPr>
        <w:t xml:space="preserve">, concluded: </w:t>
      </w:r>
      <w:r w:rsidRPr="00184FAC">
        <w:rPr>
          <w:rFonts w:ascii="Arial" w:hAnsi="Arial" w:cs="Arial"/>
          <w:i/>
        </w:rPr>
        <w:t>“The trend for major retail brands to experiment with design, layout, content and services, as they reinvent the concept of their flagship stores, is continuing to impact on major gateway city markets and will remain a key factor influencing growth in the year ahead.  Despite the still uncertain economic situation in some parts of the world, notably in Asia Pacific and the Eurozone, retail market activity is expected to improve in the year ahead.  Premier shopping locations will remain in high demand as retailers are keen to establish a presence and raise their brand profile, but supply as ever will remain tight.  The growth of online shopping, supporting the polarisation in the market in favour of the biggest and the best, will increasingly drive retailer expansion strategies whilst also having a structural impact on local markets.”</w:t>
      </w:r>
    </w:p>
    <w:p w:rsidR="002B1E89" w:rsidRPr="00ED2CFF" w:rsidRDefault="006A6316" w:rsidP="002B1E89">
      <w:pPr>
        <w:spacing w:before="100" w:beforeAutospacing="1" w:after="100" w:afterAutospacing="1"/>
        <w:rPr>
          <w:rFonts w:ascii="Arial" w:hAnsi="Arial" w:cs="Arial"/>
          <w:color w:val="000000" w:themeColor="text1"/>
          <w:szCs w:val="20"/>
        </w:rPr>
      </w:pPr>
      <w:r w:rsidRPr="006A6316">
        <w:rPr>
          <w:rFonts w:ascii="Arial" w:hAnsi="Arial" w:cs="Arial"/>
          <w:b/>
          <w:szCs w:val="20"/>
        </w:rPr>
        <w:t xml:space="preserve">Marek Noetzel, Partner and </w:t>
      </w:r>
      <w:r w:rsidR="00FF3E12">
        <w:rPr>
          <w:rFonts w:ascii="Arial" w:hAnsi="Arial" w:cs="Arial"/>
          <w:b/>
          <w:szCs w:val="20"/>
        </w:rPr>
        <w:t>h</w:t>
      </w:r>
      <w:r w:rsidRPr="006A6316">
        <w:rPr>
          <w:rFonts w:ascii="Arial" w:hAnsi="Arial" w:cs="Arial"/>
          <w:b/>
          <w:szCs w:val="20"/>
        </w:rPr>
        <w:t>ead of Retail at Cushman &amp; Wakefield’s Polish office,</w:t>
      </w:r>
      <w:r>
        <w:rPr>
          <w:rFonts w:ascii="Arial" w:hAnsi="Arial" w:cs="Arial"/>
          <w:szCs w:val="20"/>
        </w:rPr>
        <w:t xml:space="preserve"> said: </w:t>
      </w:r>
      <w:r w:rsidRPr="00450B0A">
        <w:rPr>
          <w:rFonts w:ascii="Arial" w:hAnsi="Arial" w:cs="Arial"/>
          <w:i/>
          <w:szCs w:val="20"/>
        </w:rPr>
        <w:t xml:space="preserve">“According to the C&amp;W's latest report, </w:t>
      </w:r>
      <w:proofErr w:type="spellStart"/>
      <w:r w:rsidRPr="00450B0A">
        <w:rPr>
          <w:rFonts w:ascii="Arial" w:hAnsi="Arial" w:cs="Arial"/>
          <w:i/>
          <w:szCs w:val="20"/>
        </w:rPr>
        <w:t>Nowy</w:t>
      </w:r>
      <w:proofErr w:type="spellEnd"/>
      <w:r w:rsidRPr="00450B0A">
        <w:rPr>
          <w:rFonts w:ascii="Arial" w:hAnsi="Arial" w:cs="Arial"/>
          <w:i/>
          <w:szCs w:val="20"/>
        </w:rPr>
        <w:t xml:space="preserve"> </w:t>
      </w:r>
      <w:proofErr w:type="spellStart"/>
      <w:r w:rsidRPr="00450B0A">
        <w:rPr>
          <w:rFonts w:ascii="Arial" w:hAnsi="Arial" w:cs="Arial"/>
          <w:i/>
          <w:szCs w:val="20"/>
        </w:rPr>
        <w:t>Świat</w:t>
      </w:r>
      <w:proofErr w:type="spellEnd"/>
      <w:r w:rsidRPr="00450B0A">
        <w:rPr>
          <w:rFonts w:ascii="Arial" w:hAnsi="Arial" w:cs="Arial"/>
          <w:i/>
          <w:szCs w:val="20"/>
        </w:rPr>
        <w:t xml:space="preserve"> St</w:t>
      </w:r>
      <w:r w:rsidR="00876DC2" w:rsidRPr="00450B0A">
        <w:rPr>
          <w:rFonts w:ascii="Arial" w:hAnsi="Arial" w:cs="Arial"/>
          <w:i/>
          <w:szCs w:val="20"/>
        </w:rPr>
        <w:t>reet in Warsaw has moved up by one</w:t>
      </w:r>
      <w:r w:rsidRPr="00450B0A">
        <w:rPr>
          <w:rFonts w:ascii="Arial" w:hAnsi="Arial" w:cs="Arial"/>
          <w:i/>
          <w:szCs w:val="20"/>
        </w:rPr>
        <w:t xml:space="preserve"> position in the ranking of the world’s most expensive retail locations. I am convinced that current infrastructure investments, including the development of the second metro line or the revamp of </w:t>
      </w:r>
      <w:proofErr w:type="spellStart"/>
      <w:r w:rsidRPr="00450B0A">
        <w:rPr>
          <w:rFonts w:ascii="Arial" w:hAnsi="Arial" w:cs="Arial"/>
          <w:i/>
          <w:szCs w:val="20"/>
        </w:rPr>
        <w:t>Świętokrzyska</w:t>
      </w:r>
      <w:proofErr w:type="spellEnd"/>
      <w:r w:rsidRPr="00450B0A">
        <w:rPr>
          <w:rFonts w:ascii="Arial" w:hAnsi="Arial" w:cs="Arial"/>
          <w:i/>
          <w:szCs w:val="20"/>
        </w:rPr>
        <w:t xml:space="preserve"> Street will further strengthen the position of Poland’s most expensive street. Over the recent years high streets in Poland have experienced a dynamic development, e.g. new investments in </w:t>
      </w:r>
      <w:proofErr w:type="spellStart"/>
      <w:r w:rsidRPr="00450B0A">
        <w:rPr>
          <w:rFonts w:ascii="Arial" w:hAnsi="Arial" w:cs="Arial"/>
          <w:i/>
          <w:szCs w:val="20"/>
        </w:rPr>
        <w:t>Powiśle</w:t>
      </w:r>
      <w:proofErr w:type="spellEnd"/>
      <w:r w:rsidRPr="00450B0A">
        <w:rPr>
          <w:rFonts w:ascii="Arial" w:hAnsi="Arial" w:cs="Arial"/>
          <w:i/>
          <w:szCs w:val="20"/>
        </w:rPr>
        <w:t xml:space="preserve">, new stores within the area of </w:t>
      </w:r>
      <w:proofErr w:type="spellStart"/>
      <w:r w:rsidRPr="00450B0A">
        <w:rPr>
          <w:rFonts w:ascii="Arial" w:hAnsi="Arial" w:cs="Arial"/>
          <w:i/>
          <w:szCs w:val="20"/>
        </w:rPr>
        <w:t>Trzech</w:t>
      </w:r>
      <w:proofErr w:type="spellEnd"/>
      <w:r w:rsidRPr="00450B0A">
        <w:rPr>
          <w:rFonts w:ascii="Arial" w:hAnsi="Arial" w:cs="Arial"/>
          <w:i/>
          <w:szCs w:val="20"/>
        </w:rPr>
        <w:t xml:space="preserve"> </w:t>
      </w:r>
      <w:proofErr w:type="spellStart"/>
      <w:r w:rsidRPr="00450B0A">
        <w:rPr>
          <w:rFonts w:ascii="Arial" w:hAnsi="Arial" w:cs="Arial"/>
          <w:i/>
          <w:szCs w:val="20"/>
        </w:rPr>
        <w:t>Krzyży</w:t>
      </w:r>
      <w:proofErr w:type="spellEnd"/>
      <w:r w:rsidRPr="00450B0A">
        <w:rPr>
          <w:rFonts w:ascii="Arial" w:hAnsi="Arial" w:cs="Arial"/>
          <w:i/>
          <w:szCs w:val="20"/>
        </w:rPr>
        <w:t xml:space="preserve"> Square or </w:t>
      </w:r>
      <w:proofErr w:type="spellStart"/>
      <w:r w:rsidRPr="00450B0A">
        <w:rPr>
          <w:rFonts w:ascii="Arial" w:hAnsi="Arial" w:cs="Arial"/>
          <w:i/>
          <w:szCs w:val="20"/>
        </w:rPr>
        <w:t>Mokotowska</w:t>
      </w:r>
      <w:proofErr w:type="spellEnd"/>
      <w:r w:rsidRPr="00450B0A">
        <w:rPr>
          <w:rFonts w:ascii="Arial" w:hAnsi="Arial" w:cs="Arial"/>
          <w:i/>
          <w:szCs w:val="20"/>
        </w:rPr>
        <w:t xml:space="preserve"> Street, changes in high street composition and offer. However, retail space supply in the city centre is still inadequate – total high </w:t>
      </w:r>
      <w:r w:rsidRPr="00ED2CFF">
        <w:rPr>
          <w:rFonts w:ascii="Arial" w:hAnsi="Arial" w:cs="Arial"/>
          <w:i/>
          <w:color w:val="000000" w:themeColor="text1"/>
          <w:szCs w:val="20"/>
        </w:rPr>
        <w:t>street retail space in Warsaw equates to a medium size shopping centre.”</w:t>
      </w:r>
      <w:r w:rsidRPr="00ED2CFF">
        <w:rPr>
          <w:rFonts w:ascii="Arial" w:hAnsi="Arial" w:cs="Arial"/>
          <w:color w:val="000000" w:themeColor="text1"/>
          <w:szCs w:val="20"/>
        </w:rPr>
        <w:t> </w:t>
      </w:r>
    </w:p>
    <w:p w:rsidR="002B1E89" w:rsidRPr="00ED2CFF" w:rsidRDefault="00ED2CFF" w:rsidP="00ED2CFF">
      <w:pPr>
        <w:rPr>
          <w:rFonts w:ascii="Arial" w:hAnsi="Arial" w:cs="Arial"/>
          <w:color w:val="000000" w:themeColor="text1"/>
          <w:szCs w:val="20"/>
        </w:rPr>
      </w:pPr>
      <w:r w:rsidRPr="00ED2CFF">
        <w:rPr>
          <w:rFonts w:ascii="Arial" w:hAnsi="Arial" w:cs="Arial"/>
          <w:b/>
          <w:bCs/>
          <w:color w:val="000000" w:themeColor="text1"/>
          <w:szCs w:val="20"/>
          <w:lang w:val="en-US"/>
        </w:rPr>
        <w:t xml:space="preserve">Magdalena Sadal, </w:t>
      </w:r>
      <w:r w:rsidRPr="00ED2CFF">
        <w:rPr>
          <w:rFonts w:ascii="Arial" w:hAnsi="Arial" w:cs="Arial"/>
          <w:b/>
          <w:color w:val="000000" w:themeColor="text1"/>
          <w:szCs w:val="20"/>
          <w:lang w:val="en-US"/>
        </w:rPr>
        <w:t>Senior Research Consultant</w:t>
      </w:r>
      <w:r w:rsidRPr="00ED2CFF">
        <w:rPr>
          <w:rFonts w:ascii="Arial" w:hAnsi="Arial" w:cs="Arial"/>
          <w:b/>
          <w:bCs/>
          <w:color w:val="000000" w:themeColor="text1"/>
          <w:szCs w:val="20"/>
          <w:lang w:val="en-US"/>
        </w:rPr>
        <w:t xml:space="preserve"> at </w:t>
      </w:r>
      <w:r w:rsidRPr="00ED2CFF">
        <w:rPr>
          <w:rFonts w:ascii="Arial" w:hAnsi="Arial" w:cs="Arial"/>
          <w:b/>
          <w:color w:val="000000" w:themeColor="text1"/>
          <w:szCs w:val="20"/>
          <w:lang w:val="en-US"/>
        </w:rPr>
        <w:t xml:space="preserve">Valuation &amp; Advisory of Cushman &amp; Wakefield, </w:t>
      </w:r>
      <w:r w:rsidRPr="00ED2CFF">
        <w:rPr>
          <w:rFonts w:ascii="Arial" w:hAnsi="Arial" w:cs="Arial"/>
          <w:color w:val="000000" w:themeColor="text1"/>
          <w:szCs w:val="20"/>
          <w:lang w:val="en-US"/>
        </w:rPr>
        <w:t>said: “</w:t>
      </w:r>
      <w:r w:rsidR="002B1E89" w:rsidRPr="00ED2CFF">
        <w:rPr>
          <w:rFonts w:ascii="Arial" w:hAnsi="Arial" w:cs="Arial"/>
          <w:color w:val="000000" w:themeColor="text1"/>
          <w:szCs w:val="20"/>
        </w:rPr>
        <w:t xml:space="preserve">Apart from complementing traditional shopping centre offering high streets act as a barometer of retail market conditions, reflecting the new and existing trends in the retail and services sector. This is can be illustrated with the example of </w:t>
      </w:r>
      <w:proofErr w:type="spellStart"/>
      <w:r w:rsidR="002B1E89" w:rsidRPr="00ED2CFF">
        <w:rPr>
          <w:rFonts w:ascii="Arial" w:hAnsi="Arial" w:cs="Arial"/>
          <w:color w:val="000000" w:themeColor="text1"/>
          <w:szCs w:val="20"/>
        </w:rPr>
        <w:t>Nowy</w:t>
      </w:r>
      <w:proofErr w:type="spellEnd"/>
      <w:r w:rsidR="002B1E89" w:rsidRPr="00ED2CFF">
        <w:rPr>
          <w:rFonts w:ascii="Arial" w:hAnsi="Arial" w:cs="Arial"/>
          <w:color w:val="000000" w:themeColor="text1"/>
          <w:szCs w:val="20"/>
        </w:rPr>
        <w:t xml:space="preserve"> </w:t>
      </w:r>
      <w:proofErr w:type="spellStart"/>
      <w:r w:rsidR="002B1E89" w:rsidRPr="00ED2CFF">
        <w:rPr>
          <w:rFonts w:ascii="Arial" w:hAnsi="Arial" w:cs="Arial"/>
          <w:color w:val="000000" w:themeColor="text1"/>
          <w:szCs w:val="20"/>
        </w:rPr>
        <w:t>Świat</w:t>
      </w:r>
      <w:proofErr w:type="spellEnd"/>
      <w:r w:rsidR="002B1E89" w:rsidRPr="00ED2CFF">
        <w:rPr>
          <w:rFonts w:ascii="Arial" w:hAnsi="Arial" w:cs="Arial"/>
          <w:color w:val="000000" w:themeColor="text1"/>
          <w:szCs w:val="20"/>
        </w:rPr>
        <w:t xml:space="preserve"> Street in Warsaw, whose retail structure has recently been dominated by a gastronomy offer both in the form of chain restaurants brands (including Costa Coffee, Starbucks, </w:t>
      </w:r>
      <w:proofErr w:type="spellStart"/>
      <w:r w:rsidR="002B1E89" w:rsidRPr="00ED2CFF">
        <w:rPr>
          <w:rFonts w:ascii="Arial" w:hAnsi="Arial" w:cs="Arial"/>
          <w:color w:val="000000" w:themeColor="text1"/>
          <w:szCs w:val="20"/>
        </w:rPr>
        <w:t>Zapiecek</w:t>
      </w:r>
      <w:proofErr w:type="spellEnd"/>
      <w:r w:rsidR="002B1E89" w:rsidRPr="00ED2CFF">
        <w:rPr>
          <w:rFonts w:ascii="Arial" w:hAnsi="Arial" w:cs="Arial"/>
          <w:color w:val="000000" w:themeColor="text1"/>
          <w:szCs w:val="20"/>
        </w:rPr>
        <w:t xml:space="preserve">, </w:t>
      </w:r>
      <w:proofErr w:type="spellStart"/>
      <w:r w:rsidR="002B1E89" w:rsidRPr="00ED2CFF">
        <w:rPr>
          <w:rFonts w:ascii="Arial" w:hAnsi="Arial" w:cs="Arial"/>
          <w:color w:val="000000" w:themeColor="text1"/>
          <w:szCs w:val="20"/>
        </w:rPr>
        <w:t>Sphinks</w:t>
      </w:r>
      <w:proofErr w:type="spellEnd"/>
      <w:r w:rsidR="002B1E89" w:rsidRPr="00ED2CFF">
        <w:rPr>
          <w:rFonts w:ascii="Arial" w:hAnsi="Arial" w:cs="Arial"/>
          <w:color w:val="000000" w:themeColor="text1"/>
          <w:szCs w:val="20"/>
        </w:rPr>
        <w:t xml:space="preserve">, Pizza </w:t>
      </w:r>
      <w:proofErr w:type="spellStart"/>
      <w:r w:rsidR="002B1E89" w:rsidRPr="00ED2CFF">
        <w:rPr>
          <w:rFonts w:ascii="Arial" w:hAnsi="Arial" w:cs="Arial"/>
          <w:color w:val="000000" w:themeColor="text1"/>
          <w:szCs w:val="20"/>
        </w:rPr>
        <w:t>EAT</w:t>
      </w:r>
      <w:r w:rsidR="001E7428">
        <w:rPr>
          <w:rFonts w:ascii="Arial" w:hAnsi="Arial" w:cs="Arial"/>
          <w:color w:val="000000" w:themeColor="text1"/>
          <w:szCs w:val="20"/>
        </w:rPr>
        <w:t>aliano</w:t>
      </w:r>
      <w:proofErr w:type="spellEnd"/>
      <w:r w:rsidR="001E7428">
        <w:rPr>
          <w:rFonts w:ascii="Arial" w:hAnsi="Arial" w:cs="Arial"/>
          <w:color w:val="000000" w:themeColor="text1"/>
          <w:szCs w:val="20"/>
        </w:rPr>
        <w:t xml:space="preserve">, and planned opening of </w:t>
      </w:r>
      <w:r w:rsidR="002B1E89" w:rsidRPr="00ED2CFF">
        <w:rPr>
          <w:rFonts w:ascii="Arial" w:hAnsi="Arial" w:cs="Arial"/>
          <w:color w:val="000000" w:themeColor="text1"/>
          <w:szCs w:val="20"/>
        </w:rPr>
        <w:t xml:space="preserve">McDonald’s), as well as local restaurants concepts based on regional cuisine (milk bars, traditional Polish cuisine). Fashion is another strongly represented sector, also within up-market and popular range, followed by a food sector in the convenience store format (Carrefour Express, </w:t>
      </w:r>
      <w:proofErr w:type="spellStart"/>
      <w:r w:rsidR="002B1E89" w:rsidRPr="00ED2CFF">
        <w:rPr>
          <w:rFonts w:ascii="Arial" w:hAnsi="Arial" w:cs="Arial"/>
          <w:color w:val="000000" w:themeColor="text1"/>
          <w:szCs w:val="20"/>
        </w:rPr>
        <w:t>Krakowski</w:t>
      </w:r>
      <w:proofErr w:type="spellEnd"/>
      <w:r w:rsidR="002B1E89" w:rsidRPr="00ED2CFF">
        <w:rPr>
          <w:rFonts w:ascii="Arial" w:hAnsi="Arial" w:cs="Arial"/>
          <w:color w:val="000000" w:themeColor="text1"/>
          <w:szCs w:val="20"/>
        </w:rPr>
        <w:t xml:space="preserve"> </w:t>
      </w:r>
      <w:proofErr w:type="spellStart"/>
      <w:r w:rsidR="002B1E89" w:rsidRPr="00ED2CFF">
        <w:rPr>
          <w:rFonts w:ascii="Arial" w:hAnsi="Arial" w:cs="Arial"/>
          <w:color w:val="000000" w:themeColor="text1"/>
          <w:szCs w:val="20"/>
        </w:rPr>
        <w:t>Kredens</w:t>
      </w:r>
      <w:proofErr w:type="spellEnd"/>
      <w:r w:rsidR="002B1E89" w:rsidRPr="00ED2CFF">
        <w:rPr>
          <w:rFonts w:ascii="Arial" w:hAnsi="Arial" w:cs="Arial"/>
          <w:color w:val="000000" w:themeColor="text1"/>
          <w:szCs w:val="20"/>
        </w:rPr>
        <w:t xml:space="preserve">, </w:t>
      </w:r>
      <w:proofErr w:type="spellStart"/>
      <w:r w:rsidR="002B1E89" w:rsidRPr="00ED2CFF">
        <w:rPr>
          <w:rFonts w:ascii="Arial" w:hAnsi="Arial" w:cs="Arial"/>
          <w:color w:val="000000" w:themeColor="text1"/>
          <w:szCs w:val="20"/>
        </w:rPr>
        <w:t>A.Blikle</w:t>
      </w:r>
      <w:proofErr w:type="spellEnd"/>
      <w:r w:rsidR="002B1E89" w:rsidRPr="00ED2CFF">
        <w:rPr>
          <w:rFonts w:ascii="Arial" w:hAnsi="Arial" w:cs="Arial"/>
          <w:color w:val="000000" w:themeColor="text1"/>
          <w:szCs w:val="20"/>
        </w:rPr>
        <w:t xml:space="preserve"> </w:t>
      </w:r>
      <w:proofErr w:type="spellStart"/>
      <w:r w:rsidR="002B1E89" w:rsidRPr="00ED2CFF">
        <w:rPr>
          <w:rFonts w:ascii="Arial" w:hAnsi="Arial" w:cs="Arial"/>
          <w:color w:val="000000" w:themeColor="text1"/>
          <w:szCs w:val="20"/>
        </w:rPr>
        <w:t>delikatessen</w:t>
      </w:r>
      <w:proofErr w:type="spellEnd"/>
      <w:r w:rsidR="002B1E89" w:rsidRPr="00ED2CFF">
        <w:rPr>
          <w:rFonts w:ascii="Arial" w:hAnsi="Arial" w:cs="Arial"/>
          <w:color w:val="000000" w:themeColor="text1"/>
          <w:szCs w:val="20"/>
        </w:rPr>
        <w:t xml:space="preserve">, </w:t>
      </w:r>
      <w:proofErr w:type="spellStart"/>
      <w:r w:rsidR="002B1E89" w:rsidRPr="00ED2CFF">
        <w:rPr>
          <w:rFonts w:ascii="Arial" w:hAnsi="Arial" w:cs="Arial"/>
          <w:color w:val="000000" w:themeColor="text1"/>
          <w:szCs w:val="20"/>
        </w:rPr>
        <w:t>MiniLux</w:t>
      </w:r>
      <w:proofErr w:type="spellEnd"/>
      <w:r w:rsidR="002B1E89" w:rsidRPr="00ED2CFF">
        <w:rPr>
          <w:rFonts w:ascii="Arial" w:hAnsi="Arial" w:cs="Arial"/>
          <w:color w:val="000000" w:themeColor="text1"/>
          <w:szCs w:val="20"/>
        </w:rPr>
        <w:t>). Some brands open their specialized flagship stores e</w:t>
      </w:r>
      <w:r w:rsidR="00426CC9">
        <w:rPr>
          <w:rFonts w:ascii="Arial" w:hAnsi="Arial" w:cs="Arial"/>
          <w:color w:val="000000" w:themeColor="text1"/>
          <w:szCs w:val="20"/>
        </w:rPr>
        <w:t>.</w:t>
      </w:r>
      <w:r w:rsidR="002B1E89" w:rsidRPr="00ED2CFF">
        <w:rPr>
          <w:rFonts w:ascii="Arial" w:hAnsi="Arial" w:cs="Arial"/>
          <w:color w:val="000000" w:themeColor="text1"/>
          <w:szCs w:val="20"/>
        </w:rPr>
        <w:t>g</w:t>
      </w:r>
      <w:r w:rsidR="00426CC9">
        <w:rPr>
          <w:rFonts w:ascii="Arial" w:hAnsi="Arial" w:cs="Arial"/>
          <w:color w:val="000000" w:themeColor="text1"/>
          <w:szCs w:val="20"/>
        </w:rPr>
        <w:t>.</w:t>
      </w:r>
      <w:r w:rsidR="002B1E89" w:rsidRPr="00ED2CFF">
        <w:rPr>
          <w:rFonts w:ascii="Arial" w:hAnsi="Arial" w:cs="Arial"/>
          <w:color w:val="000000" w:themeColor="text1"/>
          <w:szCs w:val="20"/>
        </w:rPr>
        <w:t xml:space="preserve"> </w:t>
      </w:r>
      <w:proofErr w:type="spellStart"/>
      <w:r w:rsidR="002B1E89" w:rsidRPr="00ED2CFF">
        <w:rPr>
          <w:rFonts w:ascii="Arial" w:hAnsi="Arial" w:cs="Arial"/>
          <w:color w:val="000000" w:themeColor="text1"/>
          <w:szCs w:val="20"/>
        </w:rPr>
        <w:t>Nespresso</w:t>
      </w:r>
      <w:proofErr w:type="spellEnd"/>
      <w:r w:rsidR="00426CC9">
        <w:rPr>
          <w:rFonts w:ascii="Arial" w:hAnsi="Arial" w:cs="Arial"/>
          <w:color w:val="000000" w:themeColor="text1"/>
          <w:szCs w:val="20"/>
        </w:rPr>
        <w:t>. </w:t>
      </w:r>
      <w:r w:rsidR="001E7428">
        <w:rPr>
          <w:rFonts w:ascii="Arial" w:hAnsi="Arial" w:cs="Arial"/>
          <w:color w:val="000000" w:themeColor="text1"/>
          <w:szCs w:val="20"/>
        </w:rPr>
        <w:t>A new trend</w:t>
      </w:r>
      <w:r w:rsidR="002B1E89" w:rsidRPr="00ED2CFF">
        <w:rPr>
          <w:rFonts w:ascii="Arial" w:hAnsi="Arial" w:cs="Arial"/>
          <w:color w:val="000000" w:themeColor="text1"/>
          <w:szCs w:val="20"/>
        </w:rPr>
        <w:t xml:space="preserve"> is reflected in the opening of the first discount store (</w:t>
      </w:r>
      <w:proofErr w:type="spellStart"/>
      <w:r w:rsidR="002B1E89" w:rsidRPr="00ED2CFF">
        <w:rPr>
          <w:rFonts w:ascii="Arial" w:hAnsi="Arial" w:cs="Arial"/>
          <w:color w:val="000000" w:themeColor="text1"/>
          <w:szCs w:val="20"/>
        </w:rPr>
        <w:t>Biedronka</w:t>
      </w:r>
      <w:proofErr w:type="spellEnd"/>
      <w:r w:rsidR="002B1E89" w:rsidRPr="00ED2CFF">
        <w:rPr>
          <w:rFonts w:ascii="Arial" w:hAnsi="Arial" w:cs="Arial"/>
          <w:color w:val="000000" w:themeColor="text1"/>
          <w:szCs w:val="20"/>
        </w:rPr>
        <w:t xml:space="preserve">) and a fitness club </w:t>
      </w:r>
      <w:proofErr w:type="spellStart"/>
      <w:r w:rsidR="002B1E89" w:rsidRPr="00ED2CFF">
        <w:rPr>
          <w:rFonts w:ascii="Arial" w:hAnsi="Arial" w:cs="Arial"/>
          <w:color w:val="000000" w:themeColor="text1"/>
          <w:szCs w:val="20"/>
        </w:rPr>
        <w:t>McFit</w:t>
      </w:r>
      <w:proofErr w:type="spellEnd"/>
      <w:r w:rsidR="002B1E89" w:rsidRPr="00ED2CFF">
        <w:rPr>
          <w:rFonts w:ascii="Arial" w:hAnsi="Arial" w:cs="Arial"/>
          <w:color w:val="000000" w:themeColor="text1"/>
          <w:szCs w:val="20"/>
        </w:rPr>
        <w:t xml:space="preserve"> in the prestigious location on the corner of </w:t>
      </w:r>
      <w:proofErr w:type="spellStart"/>
      <w:r w:rsidR="002B1E89" w:rsidRPr="00ED2CFF">
        <w:rPr>
          <w:rFonts w:ascii="Arial" w:hAnsi="Arial" w:cs="Arial"/>
          <w:color w:val="000000" w:themeColor="text1"/>
          <w:szCs w:val="20"/>
        </w:rPr>
        <w:t>Nowy</w:t>
      </w:r>
      <w:proofErr w:type="spellEnd"/>
      <w:r w:rsidR="002B1E89" w:rsidRPr="00ED2CFF">
        <w:rPr>
          <w:rFonts w:ascii="Arial" w:hAnsi="Arial" w:cs="Arial"/>
          <w:color w:val="000000" w:themeColor="text1"/>
          <w:szCs w:val="20"/>
        </w:rPr>
        <w:t xml:space="preserve"> </w:t>
      </w:r>
      <w:proofErr w:type="spellStart"/>
      <w:r w:rsidR="002B1E89" w:rsidRPr="00ED2CFF">
        <w:rPr>
          <w:rFonts w:ascii="Arial" w:hAnsi="Arial" w:cs="Arial"/>
          <w:color w:val="000000" w:themeColor="text1"/>
          <w:szCs w:val="20"/>
        </w:rPr>
        <w:t>Świat</w:t>
      </w:r>
      <w:proofErr w:type="spellEnd"/>
      <w:r w:rsidR="002B1E89" w:rsidRPr="00ED2CFF">
        <w:rPr>
          <w:rFonts w:ascii="Arial" w:hAnsi="Arial" w:cs="Arial"/>
          <w:color w:val="000000" w:themeColor="text1"/>
          <w:szCs w:val="20"/>
        </w:rPr>
        <w:t xml:space="preserve"> Street and </w:t>
      </w:r>
      <w:proofErr w:type="spellStart"/>
      <w:r w:rsidR="002B1E89" w:rsidRPr="00ED2CFF">
        <w:rPr>
          <w:rFonts w:ascii="Arial" w:hAnsi="Arial" w:cs="Arial"/>
          <w:color w:val="000000" w:themeColor="text1"/>
          <w:szCs w:val="20"/>
        </w:rPr>
        <w:t>Świętokrzyska</w:t>
      </w:r>
      <w:proofErr w:type="spellEnd"/>
      <w:r w:rsidR="002B1E89" w:rsidRPr="00ED2CFF">
        <w:rPr>
          <w:rFonts w:ascii="Arial" w:hAnsi="Arial" w:cs="Arial"/>
          <w:color w:val="000000" w:themeColor="text1"/>
          <w:szCs w:val="20"/>
        </w:rPr>
        <w:t xml:space="preserve"> Street as well as a recent opening of </w:t>
      </w:r>
      <w:proofErr w:type="spellStart"/>
      <w:r w:rsidR="002B1E89" w:rsidRPr="00ED2CFF">
        <w:rPr>
          <w:rFonts w:ascii="Arial" w:hAnsi="Arial" w:cs="Arial"/>
          <w:color w:val="000000" w:themeColor="text1"/>
          <w:szCs w:val="20"/>
        </w:rPr>
        <w:t>self service</w:t>
      </w:r>
      <w:proofErr w:type="spellEnd"/>
      <w:r w:rsidR="002B1E89" w:rsidRPr="00ED2CFF">
        <w:rPr>
          <w:rFonts w:ascii="Arial" w:hAnsi="Arial" w:cs="Arial"/>
          <w:color w:val="000000" w:themeColor="text1"/>
          <w:szCs w:val="20"/>
        </w:rPr>
        <w:t xml:space="preserve"> vending store </w:t>
      </w:r>
      <w:proofErr w:type="spellStart"/>
      <w:r w:rsidR="002B1E89" w:rsidRPr="00ED2CFF">
        <w:rPr>
          <w:rFonts w:ascii="Arial" w:hAnsi="Arial" w:cs="Arial"/>
          <w:color w:val="000000" w:themeColor="text1"/>
          <w:szCs w:val="20"/>
        </w:rPr>
        <w:t>ToTutaj</w:t>
      </w:r>
      <w:proofErr w:type="spellEnd"/>
      <w:r w:rsidR="002B1E89" w:rsidRPr="00ED2CFF">
        <w:rPr>
          <w:rFonts w:ascii="Arial" w:hAnsi="Arial" w:cs="Arial"/>
          <w:color w:val="000000" w:themeColor="text1"/>
          <w:szCs w:val="20"/>
        </w:rPr>
        <w:t xml:space="preserve"> 24h. This </w:t>
      </w:r>
      <w:r w:rsidR="001E7428">
        <w:rPr>
          <w:rFonts w:ascii="Arial" w:hAnsi="Arial" w:cs="Arial"/>
          <w:color w:val="000000" w:themeColor="text1"/>
          <w:szCs w:val="20"/>
        </w:rPr>
        <w:t>shift into a gastronomy-</w:t>
      </w:r>
      <w:r w:rsidR="001E7428" w:rsidRPr="00ED2CFF">
        <w:rPr>
          <w:rFonts w:ascii="Arial" w:hAnsi="Arial" w:cs="Arial"/>
          <w:color w:val="000000" w:themeColor="text1"/>
          <w:szCs w:val="20"/>
        </w:rPr>
        <w:t>led offer</w:t>
      </w:r>
      <w:r w:rsidR="002B1E89" w:rsidRPr="00ED2CFF">
        <w:rPr>
          <w:rFonts w:ascii="Arial" w:hAnsi="Arial" w:cs="Arial"/>
          <w:color w:val="000000" w:themeColor="text1"/>
          <w:szCs w:val="20"/>
        </w:rPr>
        <w:t xml:space="preserve"> can be also seen in the high streets of Krakow, </w:t>
      </w:r>
      <w:proofErr w:type="spellStart"/>
      <w:r w:rsidR="002B1E89" w:rsidRPr="00ED2CFF">
        <w:rPr>
          <w:rFonts w:ascii="Arial" w:hAnsi="Arial" w:cs="Arial"/>
          <w:color w:val="000000" w:themeColor="text1"/>
          <w:szCs w:val="20"/>
        </w:rPr>
        <w:t>Wrocław</w:t>
      </w:r>
      <w:proofErr w:type="spellEnd"/>
      <w:r w:rsidR="002B1E89" w:rsidRPr="00ED2CFF">
        <w:rPr>
          <w:rFonts w:ascii="Arial" w:hAnsi="Arial" w:cs="Arial"/>
          <w:color w:val="000000" w:themeColor="text1"/>
          <w:szCs w:val="20"/>
        </w:rPr>
        <w:t xml:space="preserve"> and </w:t>
      </w:r>
      <w:proofErr w:type="spellStart"/>
      <w:r w:rsidR="002B1E89" w:rsidRPr="00ED2CFF">
        <w:rPr>
          <w:rFonts w:ascii="Arial" w:hAnsi="Arial" w:cs="Arial"/>
          <w:color w:val="000000" w:themeColor="text1"/>
          <w:szCs w:val="20"/>
        </w:rPr>
        <w:t>Gdańsk</w:t>
      </w:r>
      <w:proofErr w:type="spellEnd"/>
      <w:r w:rsidR="002B1E89" w:rsidRPr="00ED2CFF">
        <w:rPr>
          <w:rFonts w:ascii="Arial" w:hAnsi="Arial" w:cs="Arial"/>
          <w:color w:val="000000" w:themeColor="text1"/>
          <w:szCs w:val="20"/>
        </w:rPr>
        <w:t xml:space="preserve">, which capitalise on their central locations benefitting from natural high volumes of pedestrian traffic including increased inflows of tourists. High streets of Poznan, Szczecin and Katowice, on the other hand, have retained their retail and services character, with gastronomy playing only a complementary function. </w:t>
      </w:r>
      <w:proofErr w:type="spellStart"/>
      <w:r w:rsidR="002B1E89" w:rsidRPr="00ED2CFF">
        <w:rPr>
          <w:rFonts w:ascii="Arial" w:hAnsi="Arial" w:cs="Arial"/>
          <w:color w:val="000000" w:themeColor="text1"/>
          <w:szCs w:val="20"/>
        </w:rPr>
        <w:t>Łódź’s</w:t>
      </w:r>
      <w:proofErr w:type="spellEnd"/>
      <w:r w:rsidR="002B1E89" w:rsidRPr="00ED2CFF">
        <w:rPr>
          <w:rFonts w:ascii="Arial" w:hAnsi="Arial" w:cs="Arial"/>
          <w:color w:val="000000" w:themeColor="text1"/>
          <w:szCs w:val="20"/>
        </w:rPr>
        <w:t xml:space="preserve"> representative </w:t>
      </w:r>
      <w:proofErr w:type="spellStart"/>
      <w:r w:rsidR="002B1E89" w:rsidRPr="00ED2CFF">
        <w:rPr>
          <w:rFonts w:ascii="Arial" w:hAnsi="Arial" w:cs="Arial"/>
          <w:color w:val="000000" w:themeColor="text1"/>
          <w:szCs w:val="20"/>
        </w:rPr>
        <w:t>Piotrkowska</w:t>
      </w:r>
      <w:proofErr w:type="spellEnd"/>
      <w:r w:rsidR="002B1E89" w:rsidRPr="00ED2CFF">
        <w:rPr>
          <w:rFonts w:ascii="Arial" w:hAnsi="Arial" w:cs="Arial"/>
          <w:color w:val="000000" w:themeColor="text1"/>
          <w:szCs w:val="20"/>
        </w:rPr>
        <w:t xml:space="preserve"> Street is still in the process of commercialisation after its recent rejuvenation.</w:t>
      </w:r>
      <w:r w:rsidRPr="00ED2CFF">
        <w:rPr>
          <w:rFonts w:ascii="Arial" w:hAnsi="Arial" w:cs="Arial"/>
          <w:color w:val="000000" w:themeColor="text1"/>
          <w:szCs w:val="20"/>
        </w:rPr>
        <w:t>”</w:t>
      </w:r>
    </w:p>
    <w:p w:rsidR="000F135E" w:rsidRDefault="000F135E" w:rsidP="000F135E">
      <w:pPr>
        <w:spacing w:line="360" w:lineRule="auto"/>
        <w:rPr>
          <w:rFonts w:ascii="Arial" w:hAnsi="Arial" w:cs="Arial"/>
          <w:color w:val="auto"/>
          <w:szCs w:val="20"/>
        </w:rPr>
      </w:pPr>
    </w:p>
    <w:p w:rsidR="004F0EEA" w:rsidRDefault="004F0EEA" w:rsidP="000F135E">
      <w:pPr>
        <w:spacing w:line="360" w:lineRule="auto"/>
        <w:rPr>
          <w:rFonts w:ascii="Arial" w:hAnsi="Arial" w:cs="Arial"/>
          <w:color w:val="auto"/>
          <w:szCs w:val="20"/>
        </w:rPr>
      </w:pPr>
    </w:p>
    <w:p w:rsidR="000F135E" w:rsidRDefault="000F135E" w:rsidP="00263A2A">
      <w:pPr>
        <w:spacing w:line="360" w:lineRule="auto"/>
        <w:jc w:val="center"/>
        <w:rPr>
          <w:rFonts w:ascii="Arial" w:hAnsi="Arial" w:cs="Arial"/>
          <w:color w:val="auto"/>
          <w:szCs w:val="20"/>
        </w:rPr>
      </w:pPr>
      <w:r>
        <w:rPr>
          <w:rFonts w:ascii="Arial" w:hAnsi="Arial" w:cs="Arial"/>
          <w:color w:val="auto"/>
          <w:szCs w:val="20"/>
        </w:rPr>
        <w:t>-ENDS-</w:t>
      </w:r>
    </w:p>
    <w:p w:rsidR="001307B5" w:rsidRDefault="001307B5" w:rsidP="00337619">
      <w:pPr>
        <w:spacing w:line="360" w:lineRule="auto"/>
        <w:rPr>
          <w:rFonts w:ascii="Arial" w:hAnsi="Arial" w:cs="Arial"/>
          <w:b/>
          <w:sz w:val="16"/>
          <w:szCs w:val="16"/>
        </w:rPr>
      </w:pPr>
    </w:p>
    <w:p w:rsidR="001741C2" w:rsidRPr="00337619" w:rsidRDefault="001741C2" w:rsidP="00337619">
      <w:pPr>
        <w:spacing w:line="360" w:lineRule="auto"/>
        <w:rPr>
          <w:rFonts w:ascii="Arial" w:hAnsi="Arial" w:cs="Arial"/>
          <w:color w:val="auto"/>
          <w:szCs w:val="20"/>
        </w:rPr>
      </w:pPr>
      <w:r w:rsidRPr="00380D95">
        <w:rPr>
          <w:rFonts w:ascii="Arial" w:hAnsi="Arial" w:cs="Arial"/>
          <w:b/>
          <w:sz w:val="16"/>
          <w:szCs w:val="16"/>
        </w:rPr>
        <w:t>For more information, please contact:</w:t>
      </w:r>
    </w:p>
    <w:p w:rsidR="001741C2" w:rsidRPr="00380D95" w:rsidRDefault="001741C2" w:rsidP="001741C2">
      <w:pPr>
        <w:rPr>
          <w:rFonts w:ascii="Arial" w:hAnsi="Arial" w:cs="Arial"/>
          <w:b/>
          <w:sz w:val="16"/>
          <w:szCs w:val="16"/>
        </w:rPr>
      </w:pPr>
    </w:p>
    <w:p w:rsidR="001741C2" w:rsidRPr="00380D95" w:rsidRDefault="001741C2" w:rsidP="001741C2">
      <w:pPr>
        <w:rPr>
          <w:rFonts w:ascii="Arial" w:hAnsi="Arial" w:cs="Arial"/>
          <w:sz w:val="16"/>
          <w:szCs w:val="16"/>
        </w:rPr>
      </w:pPr>
      <w:r w:rsidRPr="00380D95">
        <w:rPr>
          <w:rFonts w:ascii="Arial" w:hAnsi="Arial" w:cs="Arial"/>
          <w:b/>
          <w:sz w:val="16"/>
          <w:szCs w:val="16"/>
        </w:rPr>
        <w:t>Michael Reilly</w:t>
      </w:r>
      <w:r w:rsidRPr="00380D95">
        <w:rPr>
          <w:rFonts w:ascii="Arial" w:hAnsi="Arial" w:cs="Arial"/>
          <w:b/>
          <w:sz w:val="16"/>
          <w:szCs w:val="16"/>
        </w:rPr>
        <w:tab/>
      </w:r>
    </w:p>
    <w:p w:rsidR="001741C2" w:rsidRPr="00380D95" w:rsidRDefault="001741C2" w:rsidP="001741C2">
      <w:pPr>
        <w:rPr>
          <w:rFonts w:ascii="Arial" w:hAnsi="Arial" w:cs="Arial"/>
          <w:sz w:val="16"/>
          <w:szCs w:val="16"/>
        </w:rPr>
      </w:pPr>
      <w:r w:rsidRPr="00380D95">
        <w:rPr>
          <w:rFonts w:ascii="Arial" w:hAnsi="Arial" w:cs="Arial"/>
          <w:sz w:val="16"/>
          <w:szCs w:val="16"/>
        </w:rPr>
        <w:t>Cushman &amp; Wakefield Tel: + 44 (0)20 7152 5691 / +44 (0)7793 808 691</w:t>
      </w:r>
    </w:p>
    <w:p w:rsidR="001741C2" w:rsidRDefault="001741C2" w:rsidP="001741C2">
      <w:pPr>
        <w:rPr>
          <w:rFonts w:ascii="Arial" w:hAnsi="Arial" w:cs="Arial"/>
          <w:b/>
          <w:sz w:val="16"/>
          <w:szCs w:val="16"/>
        </w:rPr>
      </w:pPr>
    </w:p>
    <w:p w:rsidR="001741C2" w:rsidRPr="00380D95" w:rsidRDefault="001741C2" w:rsidP="001741C2">
      <w:pPr>
        <w:rPr>
          <w:rFonts w:ascii="Arial" w:hAnsi="Arial" w:cs="Arial"/>
          <w:b/>
          <w:sz w:val="16"/>
          <w:szCs w:val="16"/>
        </w:rPr>
      </w:pPr>
      <w:r w:rsidRPr="00380D95">
        <w:rPr>
          <w:rFonts w:ascii="Arial" w:hAnsi="Arial" w:cs="Arial"/>
          <w:b/>
          <w:sz w:val="16"/>
          <w:szCs w:val="16"/>
        </w:rPr>
        <w:t>About Cushman &amp; Wakefield</w:t>
      </w:r>
    </w:p>
    <w:p w:rsidR="001741C2" w:rsidRPr="00380D95" w:rsidRDefault="001741C2" w:rsidP="001741C2">
      <w:pPr>
        <w:rPr>
          <w:rFonts w:ascii="Arial" w:hAnsi="Arial" w:cs="Arial"/>
          <w:sz w:val="16"/>
          <w:szCs w:val="16"/>
        </w:rPr>
      </w:pPr>
      <w:r w:rsidRPr="00380D95">
        <w:rPr>
          <w:rFonts w:ascii="Arial" w:hAnsi="Arial" w:cs="Arial"/>
          <w:sz w:val="16"/>
          <w:szCs w:val="16"/>
        </w:rPr>
        <w:t>Cushman &amp; Wakefield advises and represents clients on all aspects of property occupancy and investment. Founded in 1917, it has 250 offices in 60 countries, employing more than 16,000 professionals. It offers a complete range of services to its occupier and investor clients for all property types, including leasing, sales and acquisitions, equity, debt and structured finance, corporate finance and investment banking, appraisal, consulting, corporate services, and property, facilities, project and risk management.</w:t>
      </w:r>
    </w:p>
    <w:p w:rsidR="001741C2" w:rsidRPr="000A1E7E" w:rsidRDefault="001741C2" w:rsidP="001741C2">
      <w:pPr>
        <w:rPr>
          <w:rFonts w:ascii="Gill Sans" w:hAnsi="Gill Sans"/>
          <w:sz w:val="16"/>
          <w:szCs w:val="16"/>
        </w:rPr>
      </w:pPr>
    </w:p>
    <w:p w:rsidR="006A7549" w:rsidRDefault="006A7549">
      <w:pPr>
        <w:rPr>
          <w:rFonts w:ascii="Arial Bold" w:hAnsi="Arial Bold"/>
          <w:sz w:val="16"/>
        </w:rPr>
      </w:pPr>
    </w:p>
    <w:sectPr w:rsidR="006A7549" w:rsidSect="00EF6703">
      <w:headerReference w:type="even" r:id="rId12"/>
      <w:headerReference w:type="default" r:id="rId13"/>
      <w:footerReference w:type="even" r:id="rId14"/>
      <w:footerReference w:type="default" r:id="rId15"/>
      <w:pgSz w:w="11900" w:h="16840"/>
      <w:pgMar w:top="851" w:right="1134" w:bottom="794" w:left="175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C99" w:rsidRDefault="00174C99">
      <w:r>
        <w:separator/>
      </w:r>
    </w:p>
  </w:endnote>
  <w:endnote w:type="continuationSeparator" w:id="0">
    <w:p w:rsidR="00174C99" w:rsidRDefault="0017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Bold">
    <w:altName w:val="Arial"/>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99" w:rsidRPr="00FA5BB3" w:rsidRDefault="00174C99" w:rsidP="00FA5BB3">
    <w:pPr>
      <w:pStyle w:val="FreeForm"/>
      <w:jc w:val="center"/>
      <w:rPr>
        <w:rFonts w:ascii="Arial" w:eastAsia="Times New Roman" w:hAnsi="Arial" w:cs="Arial"/>
        <w:i/>
        <w:color w:val="auto"/>
      </w:rPr>
    </w:pPr>
    <w:r w:rsidRPr="00FA5BB3">
      <w:rPr>
        <w:rFonts w:ascii="Arial" w:eastAsia="Times New Roman" w:hAnsi="Arial" w:cs="Arial"/>
        <w:i/>
        <w:color w:val="auto"/>
      </w:rPr>
      <w:t>(Continued)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99" w:rsidRPr="00EF6703" w:rsidRDefault="00174C99" w:rsidP="00EF6703">
    <w:pPr>
      <w:pStyle w:val="Stopka"/>
      <w:jc w:val="center"/>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C99" w:rsidRDefault="00174C99">
      <w:r>
        <w:separator/>
      </w:r>
    </w:p>
  </w:footnote>
  <w:footnote w:type="continuationSeparator" w:id="0">
    <w:p w:rsidR="00174C99" w:rsidRDefault="00174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99" w:rsidRDefault="00174C99">
    <w:pPr>
      <w:pStyle w:val="Header1"/>
      <w:rPr>
        <w:rFonts w:eastAsia="Times New Roman"/>
        <w:color w:val="auto"/>
      </w:rPr>
    </w:pPr>
    <w:r>
      <w:br/>
    </w:r>
    <w:r>
      <w:rPr>
        <w:noProof/>
        <w:lang w:val="pl-PL" w:eastAsia="pl-PL"/>
      </w:rPr>
      <mc:AlternateContent>
        <mc:Choice Requires="wps">
          <w:drawing>
            <wp:anchor distT="0" distB="0" distL="114300" distR="114300" simplePos="0" relativeHeight="251658240" behindDoc="1" locked="0" layoutInCell="1" allowOverlap="1">
              <wp:simplePos x="0" y="0"/>
              <wp:positionH relativeFrom="page">
                <wp:posOffset>3979545</wp:posOffset>
              </wp:positionH>
              <wp:positionV relativeFrom="page">
                <wp:posOffset>450850</wp:posOffset>
              </wp:positionV>
              <wp:extent cx="76200" cy="139700"/>
              <wp:effectExtent l="0" t="3175" r="1905"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397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174C99" w:rsidRDefault="00174C99">
                          <w:pPr>
                            <w:pStyle w:val="Header1"/>
                            <w:rPr>
                              <w:rFonts w:eastAsia="Times New Roman"/>
                              <w:color w:val="auto"/>
                            </w:rPr>
                          </w:pPr>
                          <w:r>
                            <w:rPr>
                              <w:rStyle w:val="PageNumber1"/>
                            </w:rPr>
                            <w:fldChar w:fldCharType="begin"/>
                          </w:r>
                          <w:r>
                            <w:rPr>
                              <w:rStyle w:val="PageNumber1"/>
                            </w:rPr>
                            <w:instrText xml:space="preserve"> PAGE </w:instrText>
                          </w:r>
                          <w:r>
                            <w:rPr>
                              <w:rStyle w:val="PageNumber1"/>
                            </w:rPr>
                            <w:fldChar w:fldCharType="separate"/>
                          </w:r>
                          <w:r>
                            <w:rPr>
                              <w:rStyle w:val="PageNumber1"/>
                              <w:noProof/>
                            </w:rPr>
                            <w:t>2</w:t>
                          </w:r>
                          <w:r>
                            <w:rPr>
                              <w:rStyle w:val="PageNumb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margin-left:313.35pt;margin-top:35.5pt;width:6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qYZQIAAN4EAAAOAAAAZHJzL2Uyb0RvYy54bWysVMGO0zAQvSPxD5bvbZJuaJuo6YrdUoS0&#10;wIqFD3Btp7FwbGO7TbuIf2fsNN0ucECIHJxxZjx+8+ZNFteHVqI9t05oVeFsnGLEFdVMqG2Fv3xe&#10;j+YYOU8UI1IrXuEjd/h6+fLFojMln+hGS8YtgiTKlZ2pcOO9KZPE0Ya3xI214QqctbYt8bC124RZ&#10;0kH2ViaTNJ0mnbbMWE25c/B11TvxMuava079x7p23CNZYcDm42rjuglrslyQcmuJaQQ9wSD/gKIl&#10;QsGl51Qr4gnaWfFbqlZQq52u/ZjqNtF1LSiPNUA1WfpLNQ8NMTzWAuQ4c6bJ/b+09MP+3iLBKnyF&#10;kSIttOgTkEbUVnI0CfR0xpUQ9WDubSjQmTtNvzpwJM88YeMgBm2695pBGrLzOlJyqG0bTkKx6BCZ&#10;P56Z5wePKHycTaGZGFHwZFfFDOxwASmHs8Y6/5brFgWjwhYgxtxkf+d8HzqERJBaCrYWUsaN3W5u&#10;pUV7AhpYx+eU3V2GSRWClQ7H+oz9F4AIdwRfABt7+r3IJnl6MylG6+l8NsrX+asRgJ6P0qy4KaZp&#10;XuSr9Y8AMMvLRjDG1Z1QfNBXlv9d/05K75URFYY64GcS6ImFXcJ3l1Wm8flTla3wMG9StBWen4NI&#10;2XDC3igGdZPSEyF7O3mOP3YESBjekZaogtD4Xin+sDlAlqCGjWZH0IPV0DDoLfwkwGi0fcSog4Gr&#10;sPu2I5ZjJN8pUHSYzsGwg7EZDKIoHK2wx6g3b30/xTtjxbaBzFnkROnXoLtaRFE8oTipFYYogj8N&#10;fJjSy32MevotLX8CAAD//wMAUEsDBBQABgAIAAAAIQAmiNeL4QAAAAkBAAAPAAAAZHJzL2Rvd25y&#10;ZXYueG1sTI9NT8MwDIbvSPyHyEjcWLpV6rbSdEJIcALBNvZx9BrTVjRJ1aRrx6/HnOBo+9Hr581W&#10;o2nEmTpfO6tgOolAkC2crm2p4GP7dLcA4QNajY2zpOBCHlb59VWGqXaDXdN5E0rBIdanqKAKoU2l&#10;9EVFBv3EtWT59uk6g4HHrpS6w4HDTSNnUZRIg7XlDxW29FhR8bXpjQL5sjscL/3bN8XN9nV4x/3+&#10;eHhW6vZmfLgHEWgMfzD86rM65Ox0cr3VXjQKklkyZ1TBfMqdGEjiBS9OCpZxBDLP5P8G+Q8AAAD/&#10;/wMAUEsBAi0AFAAGAAgAAAAhALaDOJL+AAAA4QEAABMAAAAAAAAAAAAAAAAAAAAAAFtDb250ZW50&#10;X1R5cGVzXS54bWxQSwECLQAUAAYACAAAACEAOP0h/9YAAACUAQAACwAAAAAAAAAAAAAAAAAvAQAA&#10;X3JlbHMvLnJlbHNQSwECLQAUAAYACAAAACEAlTs6mGUCAADeBAAADgAAAAAAAAAAAAAAAAAuAgAA&#10;ZHJzL2Uyb0RvYy54bWxQSwECLQAUAAYACAAAACEAJojXi+EAAAAJAQAADwAAAAAAAAAAAAAAAAC/&#10;BAAAZHJzL2Rvd25yZXYueG1sUEsFBgAAAAAEAAQA8wAAAM0FAAAAAA==&#10;" stroked="f" strokeweight="1pt">
              <v:path arrowok="t"/>
              <v:textbox inset="0,0,0,0">
                <w:txbxContent>
                  <w:p w:rsidR="00174C99" w:rsidRDefault="00174C99">
                    <w:pPr>
                      <w:pStyle w:val="Header1"/>
                      <w:rPr>
                        <w:rFonts w:eastAsia="Times New Roman"/>
                        <w:color w:val="auto"/>
                      </w:rPr>
                    </w:pPr>
                    <w:r>
                      <w:rPr>
                        <w:rStyle w:val="PageNumber1"/>
                      </w:rPr>
                      <w:fldChar w:fldCharType="begin"/>
                    </w:r>
                    <w:r>
                      <w:rPr>
                        <w:rStyle w:val="PageNumber1"/>
                      </w:rPr>
                      <w:instrText xml:space="preserve"> PAGE </w:instrText>
                    </w:r>
                    <w:r>
                      <w:rPr>
                        <w:rStyle w:val="PageNumber1"/>
                      </w:rPr>
                      <w:fldChar w:fldCharType="separate"/>
                    </w:r>
                    <w:r>
                      <w:rPr>
                        <w:rStyle w:val="PageNumber1"/>
                        <w:noProof/>
                      </w:rPr>
                      <w:t>2</w:t>
                    </w:r>
                    <w:r>
                      <w:rPr>
                        <w:rStyle w:val="PageNumber1"/>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99" w:rsidRDefault="00174C99">
    <w:pPr>
      <w:pStyle w:val="Header1"/>
      <w:rPr>
        <w:rFonts w:eastAsia="Times New Roman"/>
        <w:color w:val="auto"/>
      </w:rPr>
    </w:pPr>
    <w:r>
      <w:br/>
    </w:r>
    <w:r>
      <w:rPr>
        <w:noProof/>
        <w:lang w:val="pl-PL" w:eastAsia="pl-PL"/>
      </w:rPr>
      <mc:AlternateContent>
        <mc:Choice Requires="wps">
          <w:drawing>
            <wp:anchor distT="0" distB="0" distL="114300" distR="114300" simplePos="0" relativeHeight="251657216" behindDoc="1" locked="0" layoutInCell="1" allowOverlap="1">
              <wp:simplePos x="0" y="0"/>
              <wp:positionH relativeFrom="page">
                <wp:posOffset>3979545</wp:posOffset>
              </wp:positionH>
              <wp:positionV relativeFrom="page">
                <wp:posOffset>450850</wp:posOffset>
              </wp:positionV>
              <wp:extent cx="76200" cy="139700"/>
              <wp:effectExtent l="0" t="3175" r="190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397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174C99" w:rsidRDefault="00174C99">
                          <w:pPr>
                            <w:pStyle w:val="Header1"/>
                            <w:rPr>
                              <w:rFonts w:eastAsia="Times New Roman"/>
                              <w:color w:val="auto"/>
                            </w:rPr>
                          </w:pPr>
                          <w:r>
                            <w:rPr>
                              <w:rStyle w:val="PageNumber1"/>
                            </w:rPr>
                            <w:fldChar w:fldCharType="begin"/>
                          </w:r>
                          <w:r>
                            <w:rPr>
                              <w:rStyle w:val="PageNumber1"/>
                            </w:rPr>
                            <w:instrText xml:space="preserve"> PAGE </w:instrText>
                          </w:r>
                          <w:r>
                            <w:rPr>
                              <w:rStyle w:val="PageNumber1"/>
                            </w:rPr>
                            <w:fldChar w:fldCharType="separate"/>
                          </w:r>
                          <w:r w:rsidR="004F0EEA">
                            <w:rPr>
                              <w:rStyle w:val="PageNumber1"/>
                              <w:noProof/>
                            </w:rPr>
                            <w:t>2</w:t>
                          </w:r>
                          <w:r>
                            <w:rPr>
                              <w:rStyle w:val="PageNumb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13.35pt;margin-top:35.5pt;width:6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rAvZgIAAOUEAAAOAAAAZHJzL2Uyb0RvYy54bWysVNuO0zAQfUfiHyy/t0lK6CVqumK3FCEV&#10;WLHwAa7tNBaObWy3SUH8O2On6XaBB4TIgzPOjMdnzpzJ8qZrJDpy64RWJc7GKUZcUc2E2pf486fN&#10;aI6R80QxIrXiJT5xh29Wz58tW1Pwia61ZNwiSKJc0ZoS196bIkkcrXlD3FgbrsBZadsQD1u7T5gl&#10;LWRvZDJJ02nSasuM1ZQ7B1/XvROvYv6q4tR/qCrHPZIlBmw+rjauu7AmqyUp9paYWtAzDPIPKBoi&#10;FFx6SbUmnqCDFb+lagS12unKj6luEl1VgvJYA1STpb9U81ATw2MtQI4zF5rc/0tL3x/vLRIMeoeR&#10;Ig206COQRtRecpQFelrjCoh6MPc2FOjMVtMvDhzJE0/YOIhBu/adZpCGHLyOlHSVbcJJKBZ1kfnT&#10;hXneeUTh42wKzcSIgid7sZiBHS4gxXDWWOffcN2gYJTYAsSYmxy3zvehQ0gEqaVgGyFl3Nj97k5a&#10;dCSggU18ztnddZhUIVjpcKzP2H8BiHBH8AWwsaffF9kkT28ni9FmOp+N8k3+cgSg56M0W9wupmm+&#10;yNebHwFglhe1YIyrrVB80FeW/13/zkrvlREVhlrgZxLoiYVdw3fXVabx+VOVjfAwb1I0JZ5fgkhR&#10;c8JeKwZ1k8ITIXs7eYo/dgRIGN6RlqiC0PheKb7bdWc5QbIgip1mJ5CF1dA3aDH8K8Cotf2GUQtz&#10;V2L39UAsx0i+VSDsMKSDYQdjNxhEUThaYo9Rb975fpgPxop9DZmzSI3Sr0B+lYjaeERxFi3MUqzh&#10;PPdhWK/3Merx77T6CQAA//8DAFBLAwQUAAYACAAAACEAJojXi+EAAAAJAQAADwAAAGRycy9kb3du&#10;cmV2LnhtbEyPTU/DMAyG70j8h8hI3Fi6Veq20nRCSHACwTb2cfQa01Y0SdWka8evx5zgaPvR6+fN&#10;VqNpxJk6XzurYDqJQJAtnK5tqeBj+3S3AOEDWo2Ns6TgQh5W+fVVhql2g13TeRNKwSHWp6igCqFN&#10;pfRFRQb9xLVk+fbpOoOBx66UusOBw00jZ1GUSIO15Q8VtvRYUfG16Y0C+bI7HC/92zfFzfZ1eMf9&#10;/nh4Vur2Zny4BxFoDH8w/OqzOuTsdHK91V40CpJZMmdUwXzKnRhI4gUvTgqWcQQyz+T/BvkPAAAA&#10;//8DAFBLAQItABQABgAIAAAAIQC2gziS/gAAAOEBAAATAAAAAAAAAAAAAAAAAAAAAABbQ29udGVu&#10;dF9UeXBlc10ueG1sUEsBAi0AFAAGAAgAAAAhADj9If/WAAAAlAEAAAsAAAAAAAAAAAAAAAAALwEA&#10;AF9yZWxzLy5yZWxzUEsBAi0AFAAGAAgAAAAhACzusC9mAgAA5QQAAA4AAAAAAAAAAAAAAAAALgIA&#10;AGRycy9lMm9Eb2MueG1sUEsBAi0AFAAGAAgAAAAhACaI14vhAAAACQEAAA8AAAAAAAAAAAAAAAAA&#10;wAQAAGRycy9kb3ducmV2LnhtbFBLBQYAAAAABAAEAPMAAADOBQAAAAA=&#10;" stroked="f" strokeweight="1pt">
              <v:path arrowok="t"/>
              <v:textbox inset="0,0,0,0">
                <w:txbxContent>
                  <w:p w:rsidR="00174C99" w:rsidRDefault="00174C99">
                    <w:pPr>
                      <w:pStyle w:val="Header1"/>
                      <w:rPr>
                        <w:rFonts w:eastAsia="Times New Roman"/>
                        <w:color w:val="auto"/>
                      </w:rPr>
                    </w:pPr>
                    <w:r>
                      <w:rPr>
                        <w:rStyle w:val="PageNumber1"/>
                      </w:rPr>
                      <w:fldChar w:fldCharType="begin"/>
                    </w:r>
                    <w:r>
                      <w:rPr>
                        <w:rStyle w:val="PageNumber1"/>
                      </w:rPr>
                      <w:instrText xml:space="preserve"> PAGE </w:instrText>
                    </w:r>
                    <w:r>
                      <w:rPr>
                        <w:rStyle w:val="PageNumber1"/>
                      </w:rPr>
                      <w:fldChar w:fldCharType="separate"/>
                    </w:r>
                    <w:r w:rsidR="004F0EEA">
                      <w:rPr>
                        <w:rStyle w:val="PageNumber1"/>
                        <w:noProof/>
                      </w:rPr>
                      <w:t>2</w:t>
                    </w:r>
                    <w:r>
                      <w:rPr>
                        <w:rStyle w:val="PageNumber1"/>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64"/>
      <w:numFmt w:val="bullet"/>
      <w:lvlText w:val="-"/>
      <w:lvlJc w:val="left"/>
      <w:pPr>
        <w:tabs>
          <w:tab w:val="num" w:pos="360"/>
        </w:tabs>
        <w:ind w:left="360" w:firstLine="30"/>
      </w:pPr>
      <w:rPr>
        <w:rFonts w:hint="default"/>
        <w:color w:val="000000"/>
        <w:position w:val="0"/>
        <w:sz w:val="20"/>
      </w:rPr>
    </w:lvl>
    <w:lvl w:ilvl="1">
      <w:start w:val="1"/>
      <w:numFmt w:val="bullet"/>
      <w:lvlText w:val="o"/>
      <w:lvlJc w:val="left"/>
      <w:pPr>
        <w:tabs>
          <w:tab w:val="num" w:pos="360"/>
        </w:tabs>
        <w:ind w:left="360" w:firstLine="75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7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9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91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3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5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7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90"/>
      </w:pPr>
      <w:rPr>
        <w:rFonts w:ascii="Wingdings" w:eastAsia="ヒラギノ角ゴ Pro W3" w:hAnsi="Wingdings" w:hint="default"/>
        <w:color w:val="000000"/>
        <w:position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ny"/>
  <w:drawingGridHorizontalSpacing w:val="10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76F"/>
    <w:rsid w:val="00005E00"/>
    <w:rsid w:val="00006F45"/>
    <w:rsid w:val="00011545"/>
    <w:rsid w:val="00015998"/>
    <w:rsid w:val="00016AB8"/>
    <w:rsid w:val="00021854"/>
    <w:rsid w:val="000220CB"/>
    <w:rsid w:val="000229CF"/>
    <w:rsid w:val="00022FD3"/>
    <w:rsid w:val="00031C28"/>
    <w:rsid w:val="00032254"/>
    <w:rsid w:val="000372D4"/>
    <w:rsid w:val="000413A4"/>
    <w:rsid w:val="000415F7"/>
    <w:rsid w:val="000419CF"/>
    <w:rsid w:val="000427EE"/>
    <w:rsid w:val="000447F0"/>
    <w:rsid w:val="000449CE"/>
    <w:rsid w:val="0005092F"/>
    <w:rsid w:val="000530CF"/>
    <w:rsid w:val="0005419C"/>
    <w:rsid w:val="000612B2"/>
    <w:rsid w:val="0006251C"/>
    <w:rsid w:val="000629E6"/>
    <w:rsid w:val="000653F4"/>
    <w:rsid w:val="000660FB"/>
    <w:rsid w:val="0007078D"/>
    <w:rsid w:val="00072E30"/>
    <w:rsid w:val="00074D63"/>
    <w:rsid w:val="000752EA"/>
    <w:rsid w:val="00077156"/>
    <w:rsid w:val="00081EE7"/>
    <w:rsid w:val="0008276F"/>
    <w:rsid w:val="00082FEC"/>
    <w:rsid w:val="000837C0"/>
    <w:rsid w:val="00087AE9"/>
    <w:rsid w:val="000946B4"/>
    <w:rsid w:val="00094899"/>
    <w:rsid w:val="000950E2"/>
    <w:rsid w:val="00095A58"/>
    <w:rsid w:val="000974AA"/>
    <w:rsid w:val="000A1308"/>
    <w:rsid w:val="000A2871"/>
    <w:rsid w:val="000A3CD1"/>
    <w:rsid w:val="000A4A13"/>
    <w:rsid w:val="000A54A3"/>
    <w:rsid w:val="000A6437"/>
    <w:rsid w:val="000A68E8"/>
    <w:rsid w:val="000B6F4B"/>
    <w:rsid w:val="000C2282"/>
    <w:rsid w:val="000C55CA"/>
    <w:rsid w:val="000C6700"/>
    <w:rsid w:val="000D1384"/>
    <w:rsid w:val="000D2C04"/>
    <w:rsid w:val="000D5BD9"/>
    <w:rsid w:val="000D7FC6"/>
    <w:rsid w:val="000E0565"/>
    <w:rsid w:val="000E6670"/>
    <w:rsid w:val="000E7D8E"/>
    <w:rsid w:val="000F135E"/>
    <w:rsid w:val="000F2109"/>
    <w:rsid w:val="000F2B2F"/>
    <w:rsid w:val="000F30E0"/>
    <w:rsid w:val="000F65CA"/>
    <w:rsid w:val="000F6EA4"/>
    <w:rsid w:val="000F7255"/>
    <w:rsid w:val="00101D4D"/>
    <w:rsid w:val="00101D9B"/>
    <w:rsid w:val="00103A66"/>
    <w:rsid w:val="001069F3"/>
    <w:rsid w:val="0010706C"/>
    <w:rsid w:val="001117CA"/>
    <w:rsid w:val="00114836"/>
    <w:rsid w:val="00114ACA"/>
    <w:rsid w:val="0011636A"/>
    <w:rsid w:val="00116E31"/>
    <w:rsid w:val="00117195"/>
    <w:rsid w:val="00120B4F"/>
    <w:rsid w:val="001219E3"/>
    <w:rsid w:val="001226E7"/>
    <w:rsid w:val="001248AC"/>
    <w:rsid w:val="00127F1B"/>
    <w:rsid w:val="00130032"/>
    <w:rsid w:val="001307B5"/>
    <w:rsid w:val="00133301"/>
    <w:rsid w:val="00134D5F"/>
    <w:rsid w:val="00135ADC"/>
    <w:rsid w:val="001368BF"/>
    <w:rsid w:val="00141143"/>
    <w:rsid w:val="00143771"/>
    <w:rsid w:val="001440F3"/>
    <w:rsid w:val="0014500C"/>
    <w:rsid w:val="001451DD"/>
    <w:rsid w:val="001464C7"/>
    <w:rsid w:val="00151F12"/>
    <w:rsid w:val="00152C37"/>
    <w:rsid w:val="00152EB7"/>
    <w:rsid w:val="00155C7A"/>
    <w:rsid w:val="00156ED4"/>
    <w:rsid w:val="001600AF"/>
    <w:rsid w:val="00162169"/>
    <w:rsid w:val="00166B26"/>
    <w:rsid w:val="00170794"/>
    <w:rsid w:val="00170912"/>
    <w:rsid w:val="001715A3"/>
    <w:rsid w:val="0017185A"/>
    <w:rsid w:val="00172303"/>
    <w:rsid w:val="00172BE8"/>
    <w:rsid w:val="001733E7"/>
    <w:rsid w:val="001741C2"/>
    <w:rsid w:val="00174534"/>
    <w:rsid w:val="00174C99"/>
    <w:rsid w:val="0017522C"/>
    <w:rsid w:val="00175F47"/>
    <w:rsid w:val="001762C9"/>
    <w:rsid w:val="00176CE0"/>
    <w:rsid w:val="00180EF6"/>
    <w:rsid w:val="00181221"/>
    <w:rsid w:val="00183CD6"/>
    <w:rsid w:val="001840E7"/>
    <w:rsid w:val="00184FAC"/>
    <w:rsid w:val="00185755"/>
    <w:rsid w:val="001874AC"/>
    <w:rsid w:val="00192BB7"/>
    <w:rsid w:val="00192E89"/>
    <w:rsid w:val="0019331A"/>
    <w:rsid w:val="00193447"/>
    <w:rsid w:val="001940A4"/>
    <w:rsid w:val="001943D1"/>
    <w:rsid w:val="00195101"/>
    <w:rsid w:val="001968B7"/>
    <w:rsid w:val="00197A0B"/>
    <w:rsid w:val="001A236F"/>
    <w:rsid w:val="001A3460"/>
    <w:rsid w:val="001A3866"/>
    <w:rsid w:val="001A7567"/>
    <w:rsid w:val="001B1635"/>
    <w:rsid w:val="001B212C"/>
    <w:rsid w:val="001B29B4"/>
    <w:rsid w:val="001C76A6"/>
    <w:rsid w:val="001D3E89"/>
    <w:rsid w:val="001D550E"/>
    <w:rsid w:val="001D74F6"/>
    <w:rsid w:val="001E0BCB"/>
    <w:rsid w:val="001E2CD1"/>
    <w:rsid w:val="001E30FA"/>
    <w:rsid w:val="001E3EFB"/>
    <w:rsid w:val="001E7428"/>
    <w:rsid w:val="001E7F86"/>
    <w:rsid w:val="001F0A82"/>
    <w:rsid w:val="001F1BED"/>
    <w:rsid w:val="001F3415"/>
    <w:rsid w:val="001F5E5F"/>
    <w:rsid w:val="001F6D1F"/>
    <w:rsid w:val="002008AB"/>
    <w:rsid w:val="00203B8C"/>
    <w:rsid w:val="002049F7"/>
    <w:rsid w:val="00205583"/>
    <w:rsid w:val="00205859"/>
    <w:rsid w:val="0020793B"/>
    <w:rsid w:val="00214C3F"/>
    <w:rsid w:val="00222624"/>
    <w:rsid w:val="002244BE"/>
    <w:rsid w:val="00224B75"/>
    <w:rsid w:val="00224F48"/>
    <w:rsid w:val="00225483"/>
    <w:rsid w:val="0023089D"/>
    <w:rsid w:val="00230D32"/>
    <w:rsid w:val="00240402"/>
    <w:rsid w:val="002416CC"/>
    <w:rsid w:val="00247E21"/>
    <w:rsid w:val="002508B4"/>
    <w:rsid w:val="00250EC0"/>
    <w:rsid w:val="002559F8"/>
    <w:rsid w:val="00261B65"/>
    <w:rsid w:val="00263A2A"/>
    <w:rsid w:val="00263FE6"/>
    <w:rsid w:val="00264045"/>
    <w:rsid w:val="00265A6C"/>
    <w:rsid w:val="00267964"/>
    <w:rsid w:val="0027126E"/>
    <w:rsid w:val="00272E70"/>
    <w:rsid w:val="002737ED"/>
    <w:rsid w:val="002755FD"/>
    <w:rsid w:val="002777A0"/>
    <w:rsid w:val="002814B1"/>
    <w:rsid w:val="00286458"/>
    <w:rsid w:val="00290662"/>
    <w:rsid w:val="002951DB"/>
    <w:rsid w:val="00295D60"/>
    <w:rsid w:val="00297D5A"/>
    <w:rsid w:val="002A1556"/>
    <w:rsid w:val="002A79A2"/>
    <w:rsid w:val="002B0DCB"/>
    <w:rsid w:val="002B1E89"/>
    <w:rsid w:val="002B4C6C"/>
    <w:rsid w:val="002B4D22"/>
    <w:rsid w:val="002B5D3B"/>
    <w:rsid w:val="002B6818"/>
    <w:rsid w:val="002B6EC0"/>
    <w:rsid w:val="002C4344"/>
    <w:rsid w:val="002C6371"/>
    <w:rsid w:val="002C7188"/>
    <w:rsid w:val="002D2119"/>
    <w:rsid w:val="002D45C2"/>
    <w:rsid w:val="002D5C7C"/>
    <w:rsid w:val="002E0416"/>
    <w:rsid w:val="002E080A"/>
    <w:rsid w:val="002E0B0E"/>
    <w:rsid w:val="002E1D52"/>
    <w:rsid w:val="002E3E59"/>
    <w:rsid w:val="002E6780"/>
    <w:rsid w:val="002F0992"/>
    <w:rsid w:val="002F2566"/>
    <w:rsid w:val="002F2CF0"/>
    <w:rsid w:val="002F47CC"/>
    <w:rsid w:val="002F5AD2"/>
    <w:rsid w:val="0030084B"/>
    <w:rsid w:val="00301A3B"/>
    <w:rsid w:val="00302748"/>
    <w:rsid w:val="00302EB0"/>
    <w:rsid w:val="00305F28"/>
    <w:rsid w:val="0031185F"/>
    <w:rsid w:val="0031372B"/>
    <w:rsid w:val="0031408B"/>
    <w:rsid w:val="00314D74"/>
    <w:rsid w:val="003154F3"/>
    <w:rsid w:val="00317377"/>
    <w:rsid w:val="00320F3E"/>
    <w:rsid w:val="003258C8"/>
    <w:rsid w:val="0033017D"/>
    <w:rsid w:val="003339AE"/>
    <w:rsid w:val="0033511A"/>
    <w:rsid w:val="0033597F"/>
    <w:rsid w:val="00335E8F"/>
    <w:rsid w:val="003366EA"/>
    <w:rsid w:val="00337619"/>
    <w:rsid w:val="00347873"/>
    <w:rsid w:val="003523A8"/>
    <w:rsid w:val="003529C7"/>
    <w:rsid w:val="0036043D"/>
    <w:rsid w:val="00360714"/>
    <w:rsid w:val="003630D4"/>
    <w:rsid w:val="00366656"/>
    <w:rsid w:val="00370236"/>
    <w:rsid w:val="00370C2D"/>
    <w:rsid w:val="0037235A"/>
    <w:rsid w:val="0037628F"/>
    <w:rsid w:val="003767DD"/>
    <w:rsid w:val="00380609"/>
    <w:rsid w:val="003808B0"/>
    <w:rsid w:val="00383ABE"/>
    <w:rsid w:val="00384294"/>
    <w:rsid w:val="0038507E"/>
    <w:rsid w:val="0039039C"/>
    <w:rsid w:val="00391321"/>
    <w:rsid w:val="003930FB"/>
    <w:rsid w:val="00394EB0"/>
    <w:rsid w:val="003961DB"/>
    <w:rsid w:val="00396255"/>
    <w:rsid w:val="003966A4"/>
    <w:rsid w:val="00397183"/>
    <w:rsid w:val="003972D3"/>
    <w:rsid w:val="003A1261"/>
    <w:rsid w:val="003A21A7"/>
    <w:rsid w:val="003A2A34"/>
    <w:rsid w:val="003A5016"/>
    <w:rsid w:val="003A6209"/>
    <w:rsid w:val="003A6D9C"/>
    <w:rsid w:val="003A712B"/>
    <w:rsid w:val="003A7CD9"/>
    <w:rsid w:val="003B099C"/>
    <w:rsid w:val="003B0A2D"/>
    <w:rsid w:val="003B3419"/>
    <w:rsid w:val="003B59C9"/>
    <w:rsid w:val="003B7142"/>
    <w:rsid w:val="003C2352"/>
    <w:rsid w:val="003C5E65"/>
    <w:rsid w:val="003C6C5C"/>
    <w:rsid w:val="003D1059"/>
    <w:rsid w:val="003D2538"/>
    <w:rsid w:val="003D3524"/>
    <w:rsid w:val="003D40EA"/>
    <w:rsid w:val="003D47BA"/>
    <w:rsid w:val="003D70B6"/>
    <w:rsid w:val="003D77B1"/>
    <w:rsid w:val="003E1892"/>
    <w:rsid w:val="003F464A"/>
    <w:rsid w:val="003F4F4A"/>
    <w:rsid w:val="003F5040"/>
    <w:rsid w:val="00402CF2"/>
    <w:rsid w:val="00403DBA"/>
    <w:rsid w:val="00404924"/>
    <w:rsid w:val="0041026D"/>
    <w:rsid w:val="00411B95"/>
    <w:rsid w:val="0041209A"/>
    <w:rsid w:val="00416051"/>
    <w:rsid w:val="00421BCE"/>
    <w:rsid w:val="00426CC9"/>
    <w:rsid w:val="00427731"/>
    <w:rsid w:val="00432A36"/>
    <w:rsid w:val="00436B6D"/>
    <w:rsid w:val="00436F49"/>
    <w:rsid w:val="00442F23"/>
    <w:rsid w:val="004479F1"/>
    <w:rsid w:val="00450B0A"/>
    <w:rsid w:val="004513AE"/>
    <w:rsid w:val="00451C77"/>
    <w:rsid w:val="00454CB8"/>
    <w:rsid w:val="0045520B"/>
    <w:rsid w:val="0045703E"/>
    <w:rsid w:val="004579BC"/>
    <w:rsid w:val="00460891"/>
    <w:rsid w:val="00460D17"/>
    <w:rsid w:val="00463B69"/>
    <w:rsid w:val="004678FE"/>
    <w:rsid w:val="00467C25"/>
    <w:rsid w:val="00470BD4"/>
    <w:rsid w:val="0047106A"/>
    <w:rsid w:val="0047134E"/>
    <w:rsid w:val="0047642D"/>
    <w:rsid w:val="00477A6B"/>
    <w:rsid w:val="00477D66"/>
    <w:rsid w:val="00481FBF"/>
    <w:rsid w:val="00483235"/>
    <w:rsid w:val="004877A0"/>
    <w:rsid w:val="00491177"/>
    <w:rsid w:val="004917F2"/>
    <w:rsid w:val="004960C3"/>
    <w:rsid w:val="00496E38"/>
    <w:rsid w:val="00496F3C"/>
    <w:rsid w:val="004A682D"/>
    <w:rsid w:val="004A6EA3"/>
    <w:rsid w:val="004A735E"/>
    <w:rsid w:val="004B0242"/>
    <w:rsid w:val="004B1549"/>
    <w:rsid w:val="004B1B43"/>
    <w:rsid w:val="004C1336"/>
    <w:rsid w:val="004C2D84"/>
    <w:rsid w:val="004C381F"/>
    <w:rsid w:val="004C64E7"/>
    <w:rsid w:val="004D015C"/>
    <w:rsid w:val="004D03E3"/>
    <w:rsid w:val="004D1270"/>
    <w:rsid w:val="004D13AA"/>
    <w:rsid w:val="004D1AD1"/>
    <w:rsid w:val="004D215D"/>
    <w:rsid w:val="004D21A3"/>
    <w:rsid w:val="004D2DC3"/>
    <w:rsid w:val="004D565E"/>
    <w:rsid w:val="004D5AD6"/>
    <w:rsid w:val="004D6EFA"/>
    <w:rsid w:val="004D7026"/>
    <w:rsid w:val="004D7051"/>
    <w:rsid w:val="004E0091"/>
    <w:rsid w:val="004E0E5F"/>
    <w:rsid w:val="004E4AF1"/>
    <w:rsid w:val="004F081F"/>
    <w:rsid w:val="004F0EEA"/>
    <w:rsid w:val="004F1C7E"/>
    <w:rsid w:val="004F1CF2"/>
    <w:rsid w:val="004F59DF"/>
    <w:rsid w:val="004F6044"/>
    <w:rsid w:val="004F6D5F"/>
    <w:rsid w:val="0050052F"/>
    <w:rsid w:val="0050633C"/>
    <w:rsid w:val="005075BA"/>
    <w:rsid w:val="00510715"/>
    <w:rsid w:val="005111A0"/>
    <w:rsid w:val="00513703"/>
    <w:rsid w:val="00515884"/>
    <w:rsid w:val="00515AD1"/>
    <w:rsid w:val="005162A6"/>
    <w:rsid w:val="00523B67"/>
    <w:rsid w:val="00525A0E"/>
    <w:rsid w:val="005260FD"/>
    <w:rsid w:val="005278EC"/>
    <w:rsid w:val="00530DCC"/>
    <w:rsid w:val="005324B0"/>
    <w:rsid w:val="00533458"/>
    <w:rsid w:val="00541AA2"/>
    <w:rsid w:val="00542EB1"/>
    <w:rsid w:val="005445C7"/>
    <w:rsid w:val="00544BDD"/>
    <w:rsid w:val="005469F4"/>
    <w:rsid w:val="00551183"/>
    <w:rsid w:val="00552773"/>
    <w:rsid w:val="00556288"/>
    <w:rsid w:val="00561F77"/>
    <w:rsid w:val="00562683"/>
    <w:rsid w:val="0056384A"/>
    <w:rsid w:val="005647C2"/>
    <w:rsid w:val="0056753C"/>
    <w:rsid w:val="00570E30"/>
    <w:rsid w:val="00571D2E"/>
    <w:rsid w:val="00572605"/>
    <w:rsid w:val="00574168"/>
    <w:rsid w:val="0057747A"/>
    <w:rsid w:val="00577B5B"/>
    <w:rsid w:val="00580D90"/>
    <w:rsid w:val="00581E50"/>
    <w:rsid w:val="005841E2"/>
    <w:rsid w:val="00584849"/>
    <w:rsid w:val="00584DBC"/>
    <w:rsid w:val="00587269"/>
    <w:rsid w:val="00593731"/>
    <w:rsid w:val="0059415F"/>
    <w:rsid w:val="00594481"/>
    <w:rsid w:val="00597C52"/>
    <w:rsid w:val="005A164C"/>
    <w:rsid w:val="005A5491"/>
    <w:rsid w:val="005A7709"/>
    <w:rsid w:val="005A7926"/>
    <w:rsid w:val="005B1BAA"/>
    <w:rsid w:val="005B263A"/>
    <w:rsid w:val="005B35C6"/>
    <w:rsid w:val="005B436B"/>
    <w:rsid w:val="005C223E"/>
    <w:rsid w:val="005C4D4F"/>
    <w:rsid w:val="005D0DFC"/>
    <w:rsid w:val="005D1C08"/>
    <w:rsid w:val="005D3A49"/>
    <w:rsid w:val="005D7AC7"/>
    <w:rsid w:val="005E0264"/>
    <w:rsid w:val="005E26D4"/>
    <w:rsid w:val="005E2D39"/>
    <w:rsid w:val="005E69BD"/>
    <w:rsid w:val="005F23E7"/>
    <w:rsid w:val="005F423E"/>
    <w:rsid w:val="005F5E79"/>
    <w:rsid w:val="005F6EC0"/>
    <w:rsid w:val="005F7193"/>
    <w:rsid w:val="00600809"/>
    <w:rsid w:val="00600E9E"/>
    <w:rsid w:val="00602535"/>
    <w:rsid w:val="00603023"/>
    <w:rsid w:val="0060319E"/>
    <w:rsid w:val="006032FF"/>
    <w:rsid w:val="00604375"/>
    <w:rsid w:val="006044A5"/>
    <w:rsid w:val="00606028"/>
    <w:rsid w:val="006063FA"/>
    <w:rsid w:val="00606C8A"/>
    <w:rsid w:val="00611D26"/>
    <w:rsid w:val="006125EB"/>
    <w:rsid w:val="00612ADF"/>
    <w:rsid w:val="00613B38"/>
    <w:rsid w:val="00615BD1"/>
    <w:rsid w:val="00621EA2"/>
    <w:rsid w:val="00626ED3"/>
    <w:rsid w:val="006300D1"/>
    <w:rsid w:val="006314B4"/>
    <w:rsid w:val="00631DBD"/>
    <w:rsid w:val="00633B48"/>
    <w:rsid w:val="00634E37"/>
    <w:rsid w:val="006430FE"/>
    <w:rsid w:val="00657CE1"/>
    <w:rsid w:val="00661847"/>
    <w:rsid w:val="00662289"/>
    <w:rsid w:val="00662CD7"/>
    <w:rsid w:val="00674476"/>
    <w:rsid w:val="00685992"/>
    <w:rsid w:val="00686A39"/>
    <w:rsid w:val="00687054"/>
    <w:rsid w:val="006917F4"/>
    <w:rsid w:val="00695EA1"/>
    <w:rsid w:val="006A234C"/>
    <w:rsid w:val="006A3AC7"/>
    <w:rsid w:val="006A6316"/>
    <w:rsid w:val="006A6FDF"/>
    <w:rsid w:val="006A7549"/>
    <w:rsid w:val="006A7AD3"/>
    <w:rsid w:val="006B0BE7"/>
    <w:rsid w:val="006B0C96"/>
    <w:rsid w:val="006B2B3C"/>
    <w:rsid w:val="006B3BFB"/>
    <w:rsid w:val="006B4E78"/>
    <w:rsid w:val="006B64F5"/>
    <w:rsid w:val="006C01E8"/>
    <w:rsid w:val="006C29ED"/>
    <w:rsid w:val="006C65BE"/>
    <w:rsid w:val="006D0C67"/>
    <w:rsid w:val="006D3D13"/>
    <w:rsid w:val="006D70A5"/>
    <w:rsid w:val="006E13F4"/>
    <w:rsid w:val="006E1DBC"/>
    <w:rsid w:val="006E1F2E"/>
    <w:rsid w:val="006E2C8D"/>
    <w:rsid w:val="006E3BC8"/>
    <w:rsid w:val="006E47F2"/>
    <w:rsid w:val="006E7BF9"/>
    <w:rsid w:val="006F05FF"/>
    <w:rsid w:val="006F34D0"/>
    <w:rsid w:val="006F3BB1"/>
    <w:rsid w:val="006F6E11"/>
    <w:rsid w:val="006F7715"/>
    <w:rsid w:val="006F7AFC"/>
    <w:rsid w:val="007015B8"/>
    <w:rsid w:val="00703D70"/>
    <w:rsid w:val="00705FA4"/>
    <w:rsid w:val="007066BC"/>
    <w:rsid w:val="0070711E"/>
    <w:rsid w:val="007150B6"/>
    <w:rsid w:val="00715511"/>
    <w:rsid w:val="00716209"/>
    <w:rsid w:val="0072133D"/>
    <w:rsid w:val="007229A0"/>
    <w:rsid w:val="00722C21"/>
    <w:rsid w:val="007279EB"/>
    <w:rsid w:val="00727DB5"/>
    <w:rsid w:val="00730B0F"/>
    <w:rsid w:val="00731048"/>
    <w:rsid w:val="00733447"/>
    <w:rsid w:val="007366E4"/>
    <w:rsid w:val="00737419"/>
    <w:rsid w:val="00737F9B"/>
    <w:rsid w:val="0074097F"/>
    <w:rsid w:val="007415A1"/>
    <w:rsid w:val="00745487"/>
    <w:rsid w:val="00747E46"/>
    <w:rsid w:val="00754D7E"/>
    <w:rsid w:val="00754ECF"/>
    <w:rsid w:val="0075575D"/>
    <w:rsid w:val="00755F41"/>
    <w:rsid w:val="0075624A"/>
    <w:rsid w:val="00761770"/>
    <w:rsid w:val="007666B0"/>
    <w:rsid w:val="00767ABC"/>
    <w:rsid w:val="007740EC"/>
    <w:rsid w:val="00774623"/>
    <w:rsid w:val="00777F2E"/>
    <w:rsid w:val="00780C07"/>
    <w:rsid w:val="0078342C"/>
    <w:rsid w:val="00794329"/>
    <w:rsid w:val="007948E4"/>
    <w:rsid w:val="00794BDF"/>
    <w:rsid w:val="007A21B4"/>
    <w:rsid w:val="007A3933"/>
    <w:rsid w:val="007A69BD"/>
    <w:rsid w:val="007B169B"/>
    <w:rsid w:val="007B2100"/>
    <w:rsid w:val="007B214B"/>
    <w:rsid w:val="007B293C"/>
    <w:rsid w:val="007B586E"/>
    <w:rsid w:val="007B7A8A"/>
    <w:rsid w:val="007C056D"/>
    <w:rsid w:val="007C4C68"/>
    <w:rsid w:val="007C5673"/>
    <w:rsid w:val="007C66D2"/>
    <w:rsid w:val="007D0347"/>
    <w:rsid w:val="007D1CBF"/>
    <w:rsid w:val="007D37C1"/>
    <w:rsid w:val="007D4A19"/>
    <w:rsid w:val="007D4C55"/>
    <w:rsid w:val="007E0EBB"/>
    <w:rsid w:val="007E5C24"/>
    <w:rsid w:val="007F0745"/>
    <w:rsid w:val="007F2155"/>
    <w:rsid w:val="007F31F2"/>
    <w:rsid w:val="007F5C6D"/>
    <w:rsid w:val="007F6496"/>
    <w:rsid w:val="00800232"/>
    <w:rsid w:val="008005AD"/>
    <w:rsid w:val="0080063F"/>
    <w:rsid w:val="00800C85"/>
    <w:rsid w:val="0080263D"/>
    <w:rsid w:val="00803AF0"/>
    <w:rsid w:val="008065D2"/>
    <w:rsid w:val="00810407"/>
    <w:rsid w:val="008104E6"/>
    <w:rsid w:val="00813309"/>
    <w:rsid w:val="00814660"/>
    <w:rsid w:val="0081571F"/>
    <w:rsid w:val="008171BA"/>
    <w:rsid w:val="00817E27"/>
    <w:rsid w:val="008235C6"/>
    <w:rsid w:val="0082425E"/>
    <w:rsid w:val="00824F20"/>
    <w:rsid w:val="00824F8A"/>
    <w:rsid w:val="00832AD5"/>
    <w:rsid w:val="00836B69"/>
    <w:rsid w:val="00836CFD"/>
    <w:rsid w:val="0083731D"/>
    <w:rsid w:val="00841B7E"/>
    <w:rsid w:val="00842442"/>
    <w:rsid w:val="00843E71"/>
    <w:rsid w:val="0084452A"/>
    <w:rsid w:val="00844E6C"/>
    <w:rsid w:val="00845292"/>
    <w:rsid w:val="00846AE1"/>
    <w:rsid w:val="00846C64"/>
    <w:rsid w:val="00847290"/>
    <w:rsid w:val="00851983"/>
    <w:rsid w:val="008576D3"/>
    <w:rsid w:val="0086021F"/>
    <w:rsid w:val="00860693"/>
    <w:rsid w:val="008639A7"/>
    <w:rsid w:val="0086691E"/>
    <w:rsid w:val="00867E3D"/>
    <w:rsid w:val="008703D9"/>
    <w:rsid w:val="00872681"/>
    <w:rsid w:val="00873C09"/>
    <w:rsid w:val="00876DC2"/>
    <w:rsid w:val="0088136A"/>
    <w:rsid w:val="00882134"/>
    <w:rsid w:val="008855C7"/>
    <w:rsid w:val="0088640C"/>
    <w:rsid w:val="00887794"/>
    <w:rsid w:val="00887870"/>
    <w:rsid w:val="00887D0A"/>
    <w:rsid w:val="0089159C"/>
    <w:rsid w:val="0089185E"/>
    <w:rsid w:val="00892A88"/>
    <w:rsid w:val="00892AF3"/>
    <w:rsid w:val="008944D4"/>
    <w:rsid w:val="00894A72"/>
    <w:rsid w:val="00895641"/>
    <w:rsid w:val="008A2EF5"/>
    <w:rsid w:val="008A33D2"/>
    <w:rsid w:val="008A4966"/>
    <w:rsid w:val="008A4FCA"/>
    <w:rsid w:val="008A4FDB"/>
    <w:rsid w:val="008A6AD7"/>
    <w:rsid w:val="008B0431"/>
    <w:rsid w:val="008B2055"/>
    <w:rsid w:val="008B608E"/>
    <w:rsid w:val="008C0248"/>
    <w:rsid w:val="008C14C1"/>
    <w:rsid w:val="008C39AF"/>
    <w:rsid w:val="008C4284"/>
    <w:rsid w:val="008C4873"/>
    <w:rsid w:val="008C6280"/>
    <w:rsid w:val="008C7028"/>
    <w:rsid w:val="008C763A"/>
    <w:rsid w:val="008C7B78"/>
    <w:rsid w:val="008C7C96"/>
    <w:rsid w:val="008D0BF1"/>
    <w:rsid w:val="008D1BCA"/>
    <w:rsid w:val="008D35B9"/>
    <w:rsid w:val="008D370D"/>
    <w:rsid w:val="008D4259"/>
    <w:rsid w:val="008E15C4"/>
    <w:rsid w:val="008E2A1E"/>
    <w:rsid w:val="008E3D54"/>
    <w:rsid w:val="008E4761"/>
    <w:rsid w:val="008E51A5"/>
    <w:rsid w:val="008E69E9"/>
    <w:rsid w:val="008E69F9"/>
    <w:rsid w:val="008E7CFA"/>
    <w:rsid w:val="008F0075"/>
    <w:rsid w:val="008F0613"/>
    <w:rsid w:val="008F092B"/>
    <w:rsid w:val="008F286D"/>
    <w:rsid w:val="008F2FC1"/>
    <w:rsid w:val="008F39D5"/>
    <w:rsid w:val="008F3A98"/>
    <w:rsid w:val="008F3F11"/>
    <w:rsid w:val="008F42E5"/>
    <w:rsid w:val="008F5C23"/>
    <w:rsid w:val="00906E12"/>
    <w:rsid w:val="009103AD"/>
    <w:rsid w:val="00911D5A"/>
    <w:rsid w:val="009142A2"/>
    <w:rsid w:val="00914FB1"/>
    <w:rsid w:val="00916047"/>
    <w:rsid w:val="00916AC9"/>
    <w:rsid w:val="0091714A"/>
    <w:rsid w:val="00920415"/>
    <w:rsid w:val="00925453"/>
    <w:rsid w:val="00927873"/>
    <w:rsid w:val="00927A7F"/>
    <w:rsid w:val="00927AEB"/>
    <w:rsid w:val="009303FC"/>
    <w:rsid w:val="00931D6B"/>
    <w:rsid w:val="00936933"/>
    <w:rsid w:val="009410FD"/>
    <w:rsid w:val="00944904"/>
    <w:rsid w:val="00947031"/>
    <w:rsid w:val="00947CB6"/>
    <w:rsid w:val="00947E2D"/>
    <w:rsid w:val="00951600"/>
    <w:rsid w:val="009528A1"/>
    <w:rsid w:val="0095603C"/>
    <w:rsid w:val="0095632C"/>
    <w:rsid w:val="00956DDE"/>
    <w:rsid w:val="009614F1"/>
    <w:rsid w:val="00962959"/>
    <w:rsid w:val="00962983"/>
    <w:rsid w:val="00962B09"/>
    <w:rsid w:val="00963001"/>
    <w:rsid w:val="00972D8F"/>
    <w:rsid w:val="0097455D"/>
    <w:rsid w:val="00976974"/>
    <w:rsid w:val="00976BC2"/>
    <w:rsid w:val="00980EBC"/>
    <w:rsid w:val="00981543"/>
    <w:rsid w:val="00982BE3"/>
    <w:rsid w:val="00984C1D"/>
    <w:rsid w:val="00984FFC"/>
    <w:rsid w:val="00985DB3"/>
    <w:rsid w:val="009868B4"/>
    <w:rsid w:val="00986AD6"/>
    <w:rsid w:val="009877C6"/>
    <w:rsid w:val="009918C0"/>
    <w:rsid w:val="009922FE"/>
    <w:rsid w:val="00993549"/>
    <w:rsid w:val="0099588C"/>
    <w:rsid w:val="009977BF"/>
    <w:rsid w:val="009A0DFE"/>
    <w:rsid w:val="009A1169"/>
    <w:rsid w:val="009A62F0"/>
    <w:rsid w:val="009B09A9"/>
    <w:rsid w:val="009B1617"/>
    <w:rsid w:val="009B5E33"/>
    <w:rsid w:val="009B5E3E"/>
    <w:rsid w:val="009B618D"/>
    <w:rsid w:val="009B78B4"/>
    <w:rsid w:val="009C2444"/>
    <w:rsid w:val="009C3C09"/>
    <w:rsid w:val="009C4E9F"/>
    <w:rsid w:val="009C7D00"/>
    <w:rsid w:val="009D1E31"/>
    <w:rsid w:val="009E2DAB"/>
    <w:rsid w:val="009E3105"/>
    <w:rsid w:val="009E352E"/>
    <w:rsid w:val="009E3F2A"/>
    <w:rsid w:val="009F3571"/>
    <w:rsid w:val="009F4F23"/>
    <w:rsid w:val="009F64B2"/>
    <w:rsid w:val="009F690C"/>
    <w:rsid w:val="009F6E3A"/>
    <w:rsid w:val="009F7360"/>
    <w:rsid w:val="00A00B3F"/>
    <w:rsid w:val="00A01231"/>
    <w:rsid w:val="00A019FE"/>
    <w:rsid w:val="00A01A96"/>
    <w:rsid w:val="00A029F2"/>
    <w:rsid w:val="00A0768B"/>
    <w:rsid w:val="00A07B33"/>
    <w:rsid w:val="00A10752"/>
    <w:rsid w:val="00A13BBC"/>
    <w:rsid w:val="00A20445"/>
    <w:rsid w:val="00A2345A"/>
    <w:rsid w:val="00A24A7C"/>
    <w:rsid w:val="00A27A81"/>
    <w:rsid w:val="00A30663"/>
    <w:rsid w:val="00A332F6"/>
    <w:rsid w:val="00A34038"/>
    <w:rsid w:val="00A34704"/>
    <w:rsid w:val="00A34B14"/>
    <w:rsid w:val="00A35662"/>
    <w:rsid w:val="00A377B5"/>
    <w:rsid w:val="00A3790B"/>
    <w:rsid w:val="00A37F90"/>
    <w:rsid w:val="00A405A9"/>
    <w:rsid w:val="00A41AF7"/>
    <w:rsid w:val="00A43680"/>
    <w:rsid w:val="00A43E3E"/>
    <w:rsid w:val="00A46DD6"/>
    <w:rsid w:val="00A50B2F"/>
    <w:rsid w:val="00A57428"/>
    <w:rsid w:val="00A67C47"/>
    <w:rsid w:val="00A70F7F"/>
    <w:rsid w:val="00A71229"/>
    <w:rsid w:val="00A72C1B"/>
    <w:rsid w:val="00A72FD6"/>
    <w:rsid w:val="00A73BAC"/>
    <w:rsid w:val="00A83390"/>
    <w:rsid w:val="00A864D4"/>
    <w:rsid w:val="00A920CF"/>
    <w:rsid w:val="00AA1921"/>
    <w:rsid w:val="00AA46FC"/>
    <w:rsid w:val="00AA586A"/>
    <w:rsid w:val="00AB0226"/>
    <w:rsid w:val="00AB2C7E"/>
    <w:rsid w:val="00AB531F"/>
    <w:rsid w:val="00AB7BBF"/>
    <w:rsid w:val="00AC1C10"/>
    <w:rsid w:val="00AC1CD2"/>
    <w:rsid w:val="00AC4D91"/>
    <w:rsid w:val="00AC7948"/>
    <w:rsid w:val="00AD0960"/>
    <w:rsid w:val="00AD0F3A"/>
    <w:rsid w:val="00AE1779"/>
    <w:rsid w:val="00AE3554"/>
    <w:rsid w:val="00AE47D5"/>
    <w:rsid w:val="00AE5A6F"/>
    <w:rsid w:val="00AF0873"/>
    <w:rsid w:val="00AF103C"/>
    <w:rsid w:val="00AF50DA"/>
    <w:rsid w:val="00AF687F"/>
    <w:rsid w:val="00B04ABA"/>
    <w:rsid w:val="00B06923"/>
    <w:rsid w:val="00B116F9"/>
    <w:rsid w:val="00B258AF"/>
    <w:rsid w:val="00B27D84"/>
    <w:rsid w:val="00B3003B"/>
    <w:rsid w:val="00B341AD"/>
    <w:rsid w:val="00B376FB"/>
    <w:rsid w:val="00B40D16"/>
    <w:rsid w:val="00B41A70"/>
    <w:rsid w:val="00B423E1"/>
    <w:rsid w:val="00B429F2"/>
    <w:rsid w:val="00B44795"/>
    <w:rsid w:val="00B454E2"/>
    <w:rsid w:val="00B51AA2"/>
    <w:rsid w:val="00B53DF6"/>
    <w:rsid w:val="00B55C82"/>
    <w:rsid w:val="00B56ECD"/>
    <w:rsid w:val="00B57F52"/>
    <w:rsid w:val="00B63BA6"/>
    <w:rsid w:val="00B64863"/>
    <w:rsid w:val="00B74F4C"/>
    <w:rsid w:val="00B75298"/>
    <w:rsid w:val="00B75E07"/>
    <w:rsid w:val="00B7603A"/>
    <w:rsid w:val="00B7643B"/>
    <w:rsid w:val="00B80A9E"/>
    <w:rsid w:val="00B846C6"/>
    <w:rsid w:val="00B85550"/>
    <w:rsid w:val="00B862DA"/>
    <w:rsid w:val="00B94EFD"/>
    <w:rsid w:val="00B96B77"/>
    <w:rsid w:val="00B970C2"/>
    <w:rsid w:val="00BA031F"/>
    <w:rsid w:val="00BA1F87"/>
    <w:rsid w:val="00BA22BA"/>
    <w:rsid w:val="00BA2C96"/>
    <w:rsid w:val="00BA3E98"/>
    <w:rsid w:val="00BB0759"/>
    <w:rsid w:val="00BB46A9"/>
    <w:rsid w:val="00BB4C02"/>
    <w:rsid w:val="00BB69C6"/>
    <w:rsid w:val="00BB6D76"/>
    <w:rsid w:val="00BB72ED"/>
    <w:rsid w:val="00BC2E0A"/>
    <w:rsid w:val="00BC3D5D"/>
    <w:rsid w:val="00BC4C63"/>
    <w:rsid w:val="00BC4FBE"/>
    <w:rsid w:val="00BC5771"/>
    <w:rsid w:val="00BC5F58"/>
    <w:rsid w:val="00BC607F"/>
    <w:rsid w:val="00BC692A"/>
    <w:rsid w:val="00BD1E68"/>
    <w:rsid w:val="00BD34C8"/>
    <w:rsid w:val="00BD4015"/>
    <w:rsid w:val="00BD4AE4"/>
    <w:rsid w:val="00BD4E05"/>
    <w:rsid w:val="00BD6687"/>
    <w:rsid w:val="00BD7406"/>
    <w:rsid w:val="00BE4DB4"/>
    <w:rsid w:val="00BE6184"/>
    <w:rsid w:val="00BF0C46"/>
    <w:rsid w:val="00BF0E28"/>
    <w:rsid w:val="00BF3301"/>
    <w:rsid w:val="00BF50C3"/>
    <w:rsid w:val="00BF634B"/>
    <w:rsid w:val="00BF78AA"/>
    <w:rsid w:val="00C048CC"/>
    <w:rsid w:val="00C058CC"/>
    <w:rsid w:val="00C05F18"/>
    <w:rsid w:val="00C06FE8"/>
    <w:rsid w:val="00C07375"/>
    <w:rsid w:val="00C136C9"/>
    <w:rsid w:val="00C1389A"/>
    <w:rsid w:val="00C15380"/>
    <w:rsid w:val="00C15566"/>
    <w:rsid w:val="00C15F69"/>
    <w:rsid w:val="00C21C14"/>
    <w:rsid w:val="00C235EC"/>
    <w:rsid w:val="00C2588B"/>
    <w:rsid w:val="00C306D1"/>
    <w:rsid w:val="00C33E69"/>
    <w:rsid w:val="00C35C03"/>
    <w:rsid w:val="00C37928"/>
    <w:rsid w:val="00C4292D"/>
    <w:rsid w:val="00C45350"/>
    <w:rsid w:val="00C46150"/>
    <w:rsid w:val="00C4707C"/>
    <w:rsid w:val="00C51089"/>
    <w:rsid w:val="00C5457D"/>
    <w:rsid w:val="00C556DB"/>
    <w:rsid w:val="00C57965"/>
    <w:rsid w:val="00C57B53"/>
    <w:rsid w:val="00C617AE"/>
    <w:rsid w:val="00C61830"/>
    <w:rsid w:val="00C64F14"/>
    <w:rsid w:val="00C663AE"/>
    <w:rsid w:val="00C676D0"/>
    <w:rsid w:val="00C73A56"/>
    <w:rsid w:val="00C75866"/>
    <w:rsid w:val="00C75B69"/>
    <w:rsid w:val="00C7687C"/>
    <w:rsid w:val="00C7783B"/>
    <w:rsid w:val="00C77B4E"/>
    <w:rsid w:val="00C82C87"/>
    <w:rsid w:val="00C83C13"/>
    <w:rsid w:val="00C861B0"/>
    <w:rsid w:val="00C8672F"/>
    <w:rsid w:val="00C872D5"/>
    <w:rsid w:val="00C90EBE"/>
    <w:rsid w:val="00C94041"/>
    <w:rsid w:val="00C9495F"/>
    <w:rsid w:val="00C971BB"/>
    <w:rsid w:val="00CA034B"/>
    <w:rsid w:val="00CA0366"/>
    <w:rsid w:val="00CA1DCE"/>
    <w:rsid w:val="00CA26D7"/>
    <w:rsid w:val="00CA6A01"/>
    <w:rsid w:val="00CA7F14"/>
    <w:rsid w:val="00CB71A9"/>
    <w:rsid w:val="00CC00D0"/>
    <w:rsid w:val="00CC14AD"/>
    <w:rsid w:val="00CC1E18"/>
    <w:rsid w:val="00CC3FB7"/>
    <w:rsid w:val="00CC5F7A"/>
    <w:rsid w:val="00CD0211"/>
    <w:rsid w:val="00CD17D5"/>
    <w:rsid w:val="00CD359F"/>
    <w:rsid w:val="00CD3A5A"/>
    <w:rsid w:val="00CD408D"/>
    <w:rsid w:val="00CD54DD"/>
    <w:rsid w:val="00CE03D9"/>
    <w:rsid w:val="00CE246C"/>
    <w:rsid w:val="00CE45AB"/>
    <w:rsid w:val="00CE496B"/>
    <w:rsid w:val="00CF181A"/>
    <w:rsid w:val="00CF4186"/>
    <w:rsid w:val="00CF71A3"/>
    <w:rsid w:val="00CF779F"/>
    <w:rsid w:val="00D0120F"/>
    <w:rsid w:val="00D05012"/>
    <w:rsid w:val="00D10475"/>
    <w:rsid w:val="00D1297F"/>
    <w:rsid w:val="00D16EFE"/>
    <w:rsid w:val="00D22FD7"/>
    <w:rsid w:val="00D2567B"/>
    <w:rsid w:val="00D2589D"/>
    <w:rsid w:val="00D27913"/>
    <w:rsid w:val="00D303BE"/>
    <w:rsid w:val="00D30DA6"/>
    <w:rsid w:val="00D31B73"/>
    <w:rsid w:val="00D330B8"/>
    <w:rsid w:val="00D3405A"/>
    <w:rsid w:val="00D3459E"/>
    <w:rsid w:val="00D35199"/>
    <w:rsid w:val="00D35AC6"/>
    <w:rsid w:val="00D43246"/>
    <w:rsid w:val="00D43FE5"/>
    <w:rsid w:val="00D44613"/>
    <w:rsid w:val="00D503BE"/>
    <w:rsid w:val="00D508D5"/>
    <w:rsid w:val="00D5343F"/>
    <w:rsid w:val="00D5402E"/>
    <w:rsid w:val="00D55093"/>
    <w:rsid w:val="00D55485"/>
    <w:rsid w:val="00D60014"/>
    <w:rsid w:val="00D60D20"/>
    <w:rsid w:val="00D623A0"/>
    <w:rsid w:val="00D62CE4"/>
    <w:rsid w:val="00D676D9"/>
    <w:rsid w:val="00D7158A"/>
    <w:rsid w:val="00D721B3"/>
    <w:rsid w:val="00D76AB6"/>
    <w:rsid w:val="00D76BAB"/>
    <w:rsid w:val="00D775CC"/>
    <w:rsid w:val="00D83F41"/>
    <w:rsid w:val="00D85E3A"/>
    <w:rsid w:val="00D871B3"/>
    <w:rsid w:val="00D873A5"/>
    <w:rsid w:val="00D9201D"/>
    <w:rsid w:val="00D933E8"/>
    <w:rsid w:val="00D93630"/>
    <w:rsid w:val="00D97AFD"/>
    <w:rsid w:val="00DA2AEF"/>
    <w:rsid w:val="00DA4925"/>
    <w:rsid w:val="00DA4A9C"/>
    <w:rsid w:val="00DB154A"/>
    <w:rsid w:val="00DB18F2"/>
    <w:rsid w:val="00DB65CC"/>
    <w:rsid w:val="00DC28E4"/>
    <w:rsid w:val="00DC49BC"/>
    <w:rsid w:val="00DD066D"/>
    <w:rsid w:val="00DD3938"/>
    <w:rsid w:val="00DD6D6E"/>
    <w:rsid w:val="00DD6F67"/>
    <w:rsid w:val="00DE08D0"/>
    <w:rsid w:val="00DE14C0"/>
    <w:rsid w:val="00DE5EB9"/>
    <w:rsid w:val="00DE6DD8"/>
    <w:rsid w:val="00DE7252"/>
    <w:rsid w:val="00DF0026"/>
    <w:rsid w:val="00DF6692"/>
    <w:rsid w:val="00DF7739"/>
    <w:rsid w:val="00E0137C"/>
    <w:rsid w:val="00E018BD"/>
    <w:rsid w:val="00E04D0E"/>
    <w:rsid w:val="00E06756"/>
    <w:rsid w:val="00E11265"/>
    <w:rsid w:val="00E1426E"/>
    <w:rsid w:val="00E14E43"/>
    <w:rsid w:val="00E15792"/>
    <w:rsid w:val="00E22D0B"/>
    <w:rsid w:val="00E2389A"/>
    <w:rsid w:val="00E2452A"/>
    <w:rsid w:val="00E251B0"/>
    <w:rsid w:val="00E264EF"/>
    <w:rsid w:val="00E3092E"/>
    <w:rsid w:val="00E31E83"/>
    <w:rsid w:val="00E34460"/>
    <w:rsid w:val="00E34D50"/>
    <w:rsid w:val="00E34E61"/>
    <w:rsid w:val="00E35750"/>
    <w:rsid w:val="00E36968"/>
    <w:rsid w:val="00E40215"/>
    <w:rsid w:val="00E41520"/>
    <w:rsid w:val="00E42FC3"/>
    <w:rsid w:val="00E435E9"/>
    <w:rsid w:val="00E45936"/>
    <w:rsid w:val="00E46C7C"/>
    <w:rsid w:val="00E521D0"/>
    <w:rsid w:val="00E53F1C"/>
    <w:rsid w:val="00E55612"/>
    <w:rsid w:val="00E64360"/>
    <w:rsid w:val="00E661FE"/>
    <w:rsid w:val="00E66568"/>
    <w:rsid w:val="00E73DB8"/>
    <w:rsid w:val="00E75067"/>
    <w:rsid w:val="00E756BF"/>
    <w:rsid w:val="00E75DF5"/>
    <w:rsid w:val="00E80C68"/>
    <w:rsid w:val="00E8495E"/>
    <w:rsid w:val="00E85C56"/>
    <w:rsid w:val="00E87926"/>
    <w:rsid w:val="00E90D3C"/>
    <w:rsid w:val="00E93C2A"/>
    <w:rsid w:val="00E962C7"/>
    <w:rsid w:val="00EA37B9"/>
    <w:rsid w:val="00EA399E"/>
    <w:rsid w:val="00EA65FE"/>
    <w:rsid w:val="00EB04A3"/>
    <w:rsid w:val="00EB0E6F"/>
    <w:rsid w:val="00EB4B00"/>
    <w:rsid w:val="00EB4B25"/>
    <w:rsid w:val="00EB6186"/>
    <w:rsid w:val="00EB6318"/>
    <w:rsid w:val="00EB75E7"/>
    <w:rsid w:val="00EB7C83"/>
    <w:rsid w:val="00EC34BF"/>
    <w:rsid w:val="00EC3C7D"/>
    <w:rsid w:val="00EC5D94"/>
    <w:rsid w:val="00ED16F2"/>
    <w:rsid w:val="00ED2CFF"/>
    <w:rsid w:val="00ED38EC"/>
    <w:rsid w:val="00ED558E"/>
    <w:rsid w:val="00ED564B"/>
    <w:rsid w:val="00ED7369"/>
    <w:rsid w:val="00EE02BC"/>
    <w:rsid w:val="00EE0334"/>
    <w:rsid w:val="00EE11BE"/>
    <w:rsid w:val="00EE27A6"/>
    <w:rsid w:val="00EE5E4A"/>
    <w:rsid w:val="00EE631B"/>
    <w:rsid w:val="00EE75D6"/>
    <w:rsid w:val="00EE7EC4"/>
    <w:rsid w:val="00EF07B1"/>
    <w:rsid w:val="00EF16DD"/>
    <w:rsid w:val="00EF23F8"/>
    <w:rsid w:val="00EF3065"/>
    <w:rsid w:val="00EF6703"/>
    <w:rsid w:val="00EF6817"/>
    <w:rsid w:val="00EF79C5"/>
    <w:rsid w:val="00F00E81"/>
    <w:rsid w:val="00F00F83"/>
    <w:rsid w:val="00F02F29"/>
    <w:rsid w:val="00F061A3"/>
    <w:rsid w:val="00F11556"/>
    <w:rsid w:val="00F12FF6"/>
    <w:rsid w:val="00F14209"/>
    <w:rsid w:val="00F14BF5"/>
    <w:rsid w:val="00F154F4"/>
    <w:rsid w:val="00F15D87"/>
    <w:rsid w:val="00F20700"/>
    <w:rsid w:val="00F22A09"/>
    <w:rsid w:val="00F257D9"/>
    <w:rsid w:val="00F26D39"/>
    <w:rsid w:val="00F30B25"/>
    <w:rsid w:val="00F3113A"/>
    <w:rsid w:val="00F311EB"/>
    <w:rsid w:val="00F327C3"/>
    <w:rsid w:val="00F33B56"/>
    <w:rsid w:val="00F342CE"/>
    <w:rsid w:val="00F34432"/>
    <w:rsid w:val="00F3686B"/>
    <w:rsid w:val="00F36F0F"/>
    <w:rsid w:val="00F375DC"/>
    <w:rsid w:val="00F40DC7"/>
    <w:rsid w:val="00F44826"/>
    <w:rsid w:val="00F44D87"/>
    <w:rsid w:val="00F51227"/>
    <w:rsid w:val="00F535CD"/>
    <w:rsid w:val="00F556A4"/>
    <w:rsid w:val="00F5793A"/>
    <w:rsid w:val="00F63723"/>
    <w:rsid w:val="00F64E97"/>
    <w:rsid w:val="00F65A04"/>
    <w:rsid w:val="00F66328"/>
    <w:rsid w:val="00F66BB4"/>
    <w:rsid w:val="00F66C68"/>
    <w:rsid w:val="00F66DB7"/>
    <w:rsid w:val="00F67CD3"/>
    <w:rsid w:val="00F70870"/>
    <w:rsid w:val="00F71355"/>
    <w:rsid w:val="00F73012"/>
    <w:rsid w:val="00F7459C"/>
    <w:rsid w:val="00F746F7"/>
    <w:rsid w:val="00F76AE3"/>
    <w:rsid w:val="00F7753E"/>
    <w:rsid w:val="00F82832"/>
    <w:rsid w:val="00F83BAF"/>
    <w:rsid w:val="00F84FA5"/>
    <w:rsid w:val="00F90183"/>
    <w:rsid w:val="00F91981"/>
    <w:rsid w:val="00F91BB5"/>
    <w:rsid w:val="00F9229B"/>
    <w:rsid w:val="00F94382"/>
    <w:rsid w:val="00F960CD"/>
    <w:rsid w:val="00F96A5C"/>
    <w:rsid w:val="00F978C0"/>
    <w:rsid w:val="00F97B63"/>
    <w:rsid w:val="00FA0FEE"/>
    <w:rsid w:val="00FA23F1"/>
    <w:rsid w:val="00FA5BB3"/>
    <w:rsid w:val="00FA62BF"/>
    <w:rsid w:val="00FA6F7F"/>
    <w:rsid w:val="00FB15B2"/>
    <w:rsid w:val="00FB19EB"/>
    <w:rsid w:val="00FB5D17"/>
    <w:rsid w:val="00FC045B"/>
    <w:rsid w:val="00FC0BAB"/>
    <w:rsid w:val="00FC5075"/>
    <w:rsid w:val="00FD0705"/>
    <w:rsid w:val="00FD1465"/>
    <w:rsid w:val="00FD1A55"/>
    <w:rsid w:val="00FD1C48"/>
    <w:rsid w:val="00FD7A3C"/>
    <w:rsid w:val="00FE055C"/>
    <w:rsid w:val="00FF01A8"/>
    <w:rsid w:val="00FF3011"/>
    <w:rsid w:val="00FF3E12"/>
    <w:rsid w:val="00FF6749"/>
    <w:rsid w:val="00FF7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1F2E"/>
    <w:rPr>
      <w:rFonts w:eastAsia="ヒラギノ角ゴ Pro W3"/>
      <w:color w:val="000000"/>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er1">
    <w:name w:val="Header1"/>
    <w:rsid w:val="006E1F2E"/>
    <w:pPr>
      <w:tabs>
        <w:tab w:val="center" w:pos="4153"/>
        <w:tab w:val="right" w:pos="8306"/>
      </w:tabs>
    </w:pPr>
    <w:rPr>
      <w:rFonts w:eastAsia="ヒラギノ角ゴ Pro W3"/>
      <w:color w:val="000000"/>
    </w:rPr>
  </w:style>
  <w:style w:type="paragraph" w:customStyle="1" w:styleId="FreeForm">
    <w:name w:val="Free Form"/>
    <w:rsid w:val="006E1F2E"/>
    <w:rPr>
      <w:rFonts w:eastAsia="ヒラギノ角ゴ Pro W3"/>
      <w:color w:val="000000"/>
    </w:rPr>
  </w:style>
  <w:style w:type="paragraph" w:customStyle="1" w:styleId="Heading51">
    <w:name w:val="Heading 51"/>
    <w:next w:val="Normalny"/>
    <w:rsid w:val="006E1F2E"/>
    <w:pPr>
      <w:keepNext/>
      <w:ind w:right="42"/>
      <w:jc w:val="right"/>
      <w:outlineLvl w:val="4"/>
    </w:pPr>
    <w:rPr>
      <w:rFonts w:ascii="Lucida Grande" w:eastAsia="ヒラギノ角ゴ Pro W3" w:hAnsi="Lucida Grande"/>
      <w:color w:val="000000"/>
      <w:sz w:val="24"/>
    </w:rPr>
  </w:style>
  <w:style w:type="character" w:customStyle="1" w:styleId="Hyperlink1">
    <w:name w:val="Hyperlink1"/>
    <w:rsid w:val="006E1F2E"/>
    <w:rPr>
      <w:color w:val="0000FE"/>
      <w:sz w:val="20"/>
      <w:u w:val="single"/>
    </w:rPr>
  </w:style>
  <w:style w:type="paragraph" w:styleId="Akapitzlist">
    <w:name w:val="List Paragraph"/>
    <w:qFormat/>
    <w:rsid w:val="006E1F2E"/>
    <w:pPr>
      <w:spacing w:after="200" w:line="276" w:lineRule="auto"/>
      <w:ind w:left="720"/>
    </w:pPr>
    <w:rPr>
      <w:rFonts w:ascii="Lucida Grande" w:eastAsia="ヒラギノ角ゴ Pro W3" w:hAnsi="Lucida Grande"/>
      <w:color w:val="000000"/>
      <w:sz w:val="22"/>
    </w:rPr>
  </w:style>
  <w:style w:type="paragraph" w:customStyle="1" w:styleId="section1">
    <w:name w:val="section1"/>
    <w:uiPriority w:val="99"/>
    <w:rsid w:val="006E1F2E"/>
    <w:rPr>
      <w:rFonts w:eastAsia="ヒラギノ角ゴ Pro W3"/>
      <w:color w:val="000000"/>
      <w:sz w:val="24"/>
    </w:rPr>
  </w:style>
  <w:style w:type="paragraph" w:customStyle="1" w:styleId="PlainText1">
    <w:name w:val="Plain Text1"/>
    <w:rsid w:val="006E1F2E"/>
    <w:rPr>
      <w:rFonts w:ascii="Lucida Grande" w:eastAsia="ヒラギノ角ゴ Pro W3" w:hAnsi="Lucida Grande"/>
      <w:color w:val="000000"/>
      <w:sz w:val="21"/>
      <w:lang w:val="en-US"/>
    </w:rPr>
  </w:style>
  <w:style w:type="character" w:customStyle="1" w:styleId="PageNumber1">
    <w:name w:val="Page Number1"/>
    <w:autoRedefine/>
    <w:rsid w:val="006E1F2E"/>
    <w:rPr>
      <w:color w:val="000000"/>
      <w:sz w:val="20"/>
    </w:rPr>
  </w:style>
  <w:style w:type="paragraph" w:styleId="Tekstdymka">
    <w:name w:val="Balloon Text"/>
    <w:basedOn w:val="Normalny"/>
    <w:link w:val="TekstdymkaZnak"/>
    <w:locked/>
    <w:rsid w:val="00250EC0"/>
    <w:rPr>
      <w:rFonts w:ascii="Tahoma" w:hAnsi="Tahoma" w:cs="Tahoma"/>
      <w:sz w:val="16"/>
      <w:szCs w:val="16"/>
    </w:rPr>
  </w:style>
  <w:style w:type="character" w:customStyle="1" w:styleId="TekstdymkaZnak">
    <w:name w:val="Tekst dymka Znak"/>
    <w:basedOn w:val="Domylnaczcionkaakapitu"/>
    <w:link w:val="Tekstdymka"/>
    <w:rsid w:val="00250EC0"/>
    <w:rPr>
      <w:rFonts w:ascii="Tahoma" w:eastAsia="ヒラギノ角ゴ Pro W3" w:hAnsi="Tahoma" w:cs="Tahoma"/>
      <w:color w:val="000000"/>
      <w:sz w:val="16"/>
      <w:szCs w:val="16"/>
      <w:lang w:eastAsia="en-US"/>
    </w:rPr>
  </w:style>
  <w:style w:type="paragraph" w:styleId="NormalnyWeb">
    <w:name w:val="Normal (Web)"/>
    <w:basedOn w:val="Normalny"/>
    <w:uiPriority w:val="99"/>
    <w:unhideWhenUsed/>
    <w:locked/>
    <w:rsid w:val="00604375"/>
    <w:pPr>
      <w:spacing w:before="100" w:beforeAutospacing="1" w:after="100" w:afterAutospacing="1"/>
    </w:pPr>
    <w:rPr>
      <w:rFonts w:eastAsia="Times New Roman"/>
      <w:color w:val="auto"/>
      <w:sz w:val="24"/>
      <w:lang w:eastAsia="en-GB"/>
    </w:rPr>
  </w:style>
  <w:style w:type="table" w:styleId="Tabela-Siatka">
    <w:name w:val="Table Grid"/>
    <w:basedOn w:val="Standardowy"/>
    <w:locked/>
    <w:rsid w:val="008C7B78"/>
    <w:pPr>
      <w:widowControl w:val="0"/>
    </w:pPr>
    <w:rPr>
      <w:rFonts w:ascii="Gill Sans" w:hAnsi="Gill San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locked/>
    <w:rsid w:val="008C7C96"/>
    <w:pPr>
      <w:tabs>
        <w:tab w:val="center" w:pos="4513"/>
        <w:tab w:val="right" w:pos="9026"/>
      </w:tabs>
    </w:pPr>
  </w:style>
  <w:style w:type="character" w:customStyle="1" w:styleId="StopkaZnak">
    <w:name w:val="Stopka Znak"/>
    <w:basedOn w:val="Domylnaczcionkaakapitu"/>
    <w:link w:val="Stopka"/>
    <w:rsid w:val="008C7C96"/>
    <w:rPr>
      <w:rFonts w:eastAsia="ヒラギノ角ゴ Pro W3"/>
      <w:color w:val="000000"/>
      <w:szCs w:val="24"/>
      <w:lang w:eastAsia="en-US"/>
    </w:rPr>
  </w:style>
  <w:style w:type="paragraph" w:styleId="Nagwek">
    <w:name w:val="header"/>
    <w:basedOn w:val="Normalny"/>
    <w:link w:val="NagwekZnak"/>
    <w:locked/>
    <w:rsid w:val="008C7C96"/>
    <w:pPr>
      <w:tabs>
        <w:tab w:val="center" w:pos="4513"/>
        <w:tab w:val="right" w:pos="9026"/>
      </w:tabs>
    </w:pPr>
  </w:style>
  <w:style w:type="character" w:customStyle="1" w:styleId="NagwekZnak">
    <w:name w:val="Nagłówek Znak"/>
    <w:basedOn w:val="Domylnaczcionkaakapitu"/>
    <w:link w:val="Nagwek"/>
    <w:rsid w:val="008C7C96"/>
    <w:rPr>
      <w:rFonts w:eastAsia="ヒラギノ角ゴ Pro W3"/>
      <w:color w:val="000000"/>
      <w:szCs w:val="24"/>
      <w:lang w:eastAsia="en-US"/>
    </w:rPr>
  </w:style>
  <w:style w:type="character" w:styleId="Odwoaniedokomentarza">
    <w:name w:val="annotation reference"/>
    <w:basedOn w:val="Domylnaczcionkaakapitu"/>
    <w:locked/>
    <w:rsid w:val="00916047"/>
    <w:rPr>
      <w:sz w:val="16"/>
      <w:szCs w:val="16"/>
    </w:rPr>
  </w:style>
  <w:style w:type="paragraph" w:styleId="Tekstkomentarza">
    <w:name w:val="annotation text"/>
    <w:basedOn w:val="Normalny"/>
    <w:link w:val="TekstkomentarzaZnak"/>
    <w:locked/>
    <w:rsid w:val="00916047"/>
    <w:rPr>
      <w:szCs w:val="20"/>
    </w:rPr>
  </w:style>
  <w:style w:type="character" w:customStyle="1" w:styleId="TekstkomentarzaZnak">
    <w:name w:val="Tekst komentarza Znak"/>
    <w:basedOn w:val="Domylnaczcionkaakapitu"/>
    <w:link w:val="Tekstkomentarza"/>
    <w:rsid w:val="00916047"/>
    <w:rPr>
      <w:rFonts w:eastAsia="ヒラギノ角ゴ Pro W3"/>
      <w:color w:val="000000"/>
      <w:lang w:eastAsia="en-US"/>
    </w:rPr>
  </w:style>
  <w:style w:type="paragraph" w:styleId="Tematkomentarza">
    <w:name w:val="annotation subject"/>
    <w:basedOn w:val="Tekstkomentarza"/>
    <w:next w:val="Tekstkomentarza"/>
    <w:link w:val="TematkomentarzaZnak"/>
    <w:locked/>
    <w:rsid w:val="00916047"/>
    <w:rPr>
      <w:b/>
      <w:bCs/>
    </w:rPr>
  </w:style>
  <w:style w:type="character" w:customStyle="1" w:styleId="TematkomentarzaZnak">
    <w:name w:val="Temat komentarza Znak"/>
    <w:basedOn w:val="TekstkomentarzaZnak"/>
    <w:link w:val="Tematkomentarza"/>
    <w:rsid w:val="00916047"/>
    <w:rPr>
      <w:rFonts w:eastAsia="ヒラギノ角ゴ Pro W3"/>
      <w:b/>
      <w:bCs/>
      <w:color w:val="000000"/>
      <w:lang w:eastAsia="en-US"/>
    </w:rPr>
  </w:style>
  <w:style w:type="character" w:styleId="Hipercze">
    <w:name w:val="Hyperlink"/>
    <w:basedOn w:val="Domylnaczcionkaakapitu"/>
    <w:locked/>
    <w:rsid w:val="0033017D"/>
    <w:rPr>
      <w:color w:val="0000FF" w:themeColor="hyperlink"/>
      <w:u w:val="single"/>
    </w:rPr>
  </w:style>
  <w:style w:type="character" w:styleId="UyteHipercze">
    <w:name w:val="FollowedHyperlink"/>
    <w:basedOn w:val="Domylnaczcionkaakapitu"/>
    <w:locked/>
    <w:rsid w:val="00470BD4"/>
    <w:rPr>
      <w:color w:val="800080" w:themeColor="followedHyperlink"/>
      <w:u w:val="single"/>
    </w:rPr>
  </w:style>
  <w:style w:type="paragraph" w:styleId="Zwykytekst">
    <w:name w:val="Plain Text"/>
    <w:basedOn w:val="Normalny"/>
    <w:link w:val="ZwykytekstZnak"/>
    <w:uiPriority w:val="99"/>
    <w:semiHidden/>
    <w:unhideWhenUsed/>
    <w:locked/>
    <w:rsid w:val="008E7CFA"/>
    <w:rPr>
      <w:rFonts w:ascii="Calibri" w:eastAsiaTheme="minorHAnsi" w:hAnsi="Calibri" w:cstheme="minorBidi"/>
      <w:color w:val="auto"/>
      <w:sz w:val="22"/>
      <w:szCs w:val="21"/>
      <w:lang w:val="en-US"/>
    </w:rPr>
  </w:style>
  <w:style w:type="character" w:customStyle="1" w:styleId="ZwykytekstZnak">
    <w:name w:val="Zwykły tekst Znak"/>
    <w:basedOn w:val="Domylnaczcionkaakapitu"/>
    <w:link w:val="Zwykytekst"/>
    <w:uiPriority w:val="99"/>
    <w:semiHidden/>
    <w:rsid w:val="008E7CFA"/>
    <w:rPr>
      <w:rFonts w:ascii="Calibri" w:eastAsiaTheme="minorHAnsi" w:hAnsi="Calibri" w:cstheme="minorBidi"/>
      <w:sz w:val="22"/>
      <w:szCs w:val="2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1F2E"/>
    <w:rPr>
      <w:rFonts w:eastAsia="ヒラギノ角ゴ Pro W3"/>
      <w:color w:val="000000"/>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er1">
    <w:name w:val="Header1"/>
    <w:rsid w:val="006E1F2E"/>
    <w:pPr>
      <w:tabs>
        <w:tab w:val="center" w:pos="4153"/>
        <w:tab w:val="right" w:pos="8306"/>
      </w:tabs>
    </w:pPr>
    <w:rPr>
      <w:rFonts w:eastAsia="ヒラギノ角ゴ Pro W3"/>
      <w:color w:val="000000"/>
    </w:rPr>
  </w:style>
  <w:style w:type="paragraph" w:customStyle="1" w:styleId="FreeForm">
    <w:name w:val="Free Form"/>
    <w:rsid w:val="006E1F2E"/>
    <w:rPr>
      <w:rFonts w:eastAsia="ヒラギノ角ゴ Pro W3"/>
      <w:color w:val="000000"/>
    </w:rPr>
  </w:style>
  <w:style w:type="paragraph" w:customStyle="1" w:styleId="Heading51">
    <w:name w:val="Heading 51"/>
    <w:next w:val="Normalny"/>
    <w:rsid w:val="006E1F2E"/>
    <w:pPr>
      <w:keepNext/>
      <w:ind w:right="42"/>
      <w:jc w:val="right"/>
      <w:outlineLvl w:val="4"/>
    </w:pPr>
    <w:rPr>
      <w:rFonts w:ascii="Lucida Grande" w:eastAsia="ヒラギノ角ゴ Pro W3" w:hAnsi="Lucida Grande"/>
      <w:color w:val="000000"/>
      <w:sz w:val="24"/>
    </w:rPr>
  </w:style>
  <w:style w:type="character" w:customStyle="1" w:styleId="Hyperlink1">
    <w:name w:val="Hyperlink1"/>
    <w:rsid w:val="006E1F2E"/>
    <w:rPr>
      <w:color w:val="0000FE"/>
      <w:sz w:val="20"/>
      <w:u w:val="single"/>
    </w:rPr>
  </w:style>
  <w:style w:type="paragraph" w:styleId="Akapitzlist">
    <w:name w:val="List Paragraph"/>
    <w:qFormat/>
    <w:rsid w:val="006E1F2E"/>
    <w:pPr>
      <w:spacing w:after="200" w:line="276" w:lineRule="auto"/>
      <w:ind w:left="720"/>
    </w:pPr>
    <w:rPr>
      <w:rFonts w:ascii="Lucida Grande" w:eastAsia="ヒラギノ角ゴ Pro W3" w:hAnsi="Lucida Grande"/>
      <w:color w:val="000000"/>
      <w:sz w:val="22"/>
    </w:rPr>
  </w:style>
  <w:style w:type="paragraph" w:customStyle="1" w:styleId="section1">
    <w:name w:val="section1"/>
    <w:uiPriority w:val="99"/>
    <w:rsid w:val="006E1F2E"/>
    <w:rPr>
      <w:rFonts w:eastAsia="ヒラギノ角ゴ Pro W3"/>
      <w:color w:val="000000"/>
      <w:sz w:val="24"/>
    </w:rPr>
  </w:style>
  <w:style w:type="paragraph" w:customStyle="1" w:styleId="PlainText1">
    <w:name w:val="Plain Text1"/>
    <w:rsid w:val="006E1F2E"/>
    <w:rPr>
      <w:rFonts w:ascii="Lucida Grande" w:eastAsia="ヒラギノ角ゴ Pro W3" w:hAnsi="Lucida Grande"/>
      <w:color w:val="000000"/>
      <w:sz w:val="21"/>
      <w:lang w:val="en-US"/>
    </w:rPr>
  </w:style>
  <w:style w:type="character" w:customStyle="1" w:styleId="PageNumber1">
    <w:name w:val="Page Number1"/>
    <w:autoRedefine/>
    <w:rsid w:val="006E1F2E"/>
    <w:rPr>
      <w:color w:val="000000"/>
      <w:sz w:val="20"/>
    </w:rPr>
  </w:style>
  <w:style w:type="paragraph" w:styleId="Tekstdymka">
    <w:name w:val="Balloon Text"/>
    <w:basedOn w:val="Normalny"/>
    <w:link w:val="TekstdymkaZnak"/>
    <w:locked/>
    <w:rsid w:val="00250EC0"/>
    <w:rPr>
      <w:rFonts w:ascii="Tahoma" w:hAnsi="Tahoma" w:cs="Tahoma"/>
      <w:sz w:val="16"/>
      <w:szCs w:val="16"/>
    </w:rPr>
  </w:style>
  <w:style w:type="character" w:customStyle="1" w:styleId="TekstdymkaZnak">
    <w:name w:val="Tekst dymka Znak"/>
    <w:basedOn w:val="Domylnaczcionkaakapitu"/>
    <w:link w:val="Tekstdymka"/>
    <w:rsid w:val="00250EC0"/>
    <w:rPr>
      <w:rFonts w:ascii="Tahoma" w:eastAsia="ヒラギノ角ゴ Pro W3" w:hAnsi="Tahoma" w:cs="Tahoma"/>
      <w:color w:val="000000"/>
      <w:sz w:val="16"/>
      <w:szCs w:val="16"/>
      <w:lang w:eastAsia="en-US"/>
    </w:rPr>
  </w:style>
  <w:style w:type="paragraph" w:styleId="NormalnyWeb">
    <w:name w:val="Normal (Web)"/>
    <w:basedOn w:val="Normalny"/>
    <w:uiPriority w:val="99"/>
    <w:unhideWhenUsed/>
    <w:locked/>
    <w:rsid w:val="00604375"/>
    <w:pPr>
      <w:spacing w:before="100" w:beforeAutospacing="1" w:after="100" w:afterAutospacing="1"/>
    </w:pPr>
    <w:rPr>
      <w:rFonts w:eastAsia="Times New Roman"/>
      <w:color w:val="auto"/>
      <w:sz w:val="24"/>
      <w:lang w:eastAsia="en-GB"/>
    </w:rPr>
  </w:style>
  <w:style w:type="table" w:styleId="Tabela-Siatka">
    <w:name w:val="Table Grid"/>
    <w:basedOn w:val="Standardowy"/>
    <w:locked/>
    <w:rsid w:val="008C7B78"/>
    <w:pPr>
      <w:widowControl w:val="0"/>
    </w:pPr>
    <w:rPr>
      <w:rFonts w:ascii="Gill Sans" w:hAnsi="Gill San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locked/>
    <w:rsid w:val="008C7C96"/>
    <w:pPr>
      <w:tabs>
        <w:tab w:val="center" w:pos="4513"/>
        <w:tab w:val="right" w:pos="9026"/>
      </w:tabs>
    </w:pPr>
  </w:style>
  <w:style w:type="character" w:customStyle="1" w:styleId="StopkaZnak">
    <w:name w:val="Stopka Znak"/>
    <w:basedOn w:val="Domylnaczcionkaakapitu"/>
    <w:link w:val="Stopka"/>
    <w:rsid w:val="008C7C96"/>
    <w:rPr>
      <w:rFonts w:eastAsia="ヒラギノ角ゴ Pro W3"/>
      <w:color w:val="000000"/>
      <w:szCs w:val="24"/>
      <w:lang w:eastAsia="en-US"/>
    </w:rPr>
  </w:style>
  <w:style w:type="paragraph" w:styleId="Nagwek">
    <w:name w:val="header"/>
    <w:basedOn w:val="Normalny"/>
    <w:link w:val="NagwekZnak"/>
    <w:locked/>
    <w:rsid w:val="008C7C96"/>
    <w:pPr>
      <w:tabs>
        <w:tab w:val="center" w:pos="4513"/>
        <w:tab w:val="right" w:pos="9026"/>
      </w:tabs>
    </w:pPr>
  </w:style>
  <w:style w:type="character" w:customStyle="1" w:styleId="NagwekZnak">
    <w:name w:val="Nagłówek Znak"/>
    <w:basedOn w:val="Domylnaczcionkaakapitu"/>
    <w:link w:val="Nagwek"/>
    <w:rsid w:val="008C7C96"/>
    <w:rPr>
      <w:rFonts w:eastAsia="ヒラギノ角ゴ Pro W3"/>
      <w:color w:val="000000"/>
      <w:szCs w:val="24"/>
      <w:lang w:eastAsia="en-US"/>
    </w:rPr>
  </w:style>
  <w:style w:type="character" w:styleId="Odwoaniedokomentarza">
    <w:name w:val="annotation reference"/>
    <w:basedOn w:val="Domylnaczcionkaakapitu"/>
    <w:locked/>
    <w:rsid w:val="00916047"/>
    <w:rPr>
      <w:sz w:val="16"/>
      <w:szCs w:val="16"/>
    </w:rPr>
  </w:style>
  <w:style w:type="paragraph" w:styleId="Tekstkomentarza">
    <w:name w:val="annotation text"/>
    <w:basedOn w:val="Normalny"/>
    <w:link w:val="TekstkomentarzaZnak"/>
    <w:locked/>
    <w:rsid w:val="00916047"/>
    <w:rPr>
      <w:szCs w:val="20"/>
    </w:rPr>
  </w:style>
  <w:style w:type="character" w:customStyle="1" w:styleId="TekstkomentarzaZnak">
    <w:name w:val="Tekst komentarza Znak"/>
    <w:basedOn w:val="Domylnaczcionkaakapitu"/>
    <w:link w:val="Tekstkomentarza"/>
    <w:rsid w:val="00916047"/>
    <w:rPr>
      <w:rFonts w:eastAsia="ヒラギノ角ゴ Pro W3"/>
      <w:color w:val="000000"/>
      <w:lang w:eastAsia="en-US"/>
    </w:rPr>
  </w:style>
  <w:style w:type="paragraph" w:styleId="Tematkomentarza">
    <w:name w:val="annotation subject"/>
    <w:basedOn w:val="Tekstkomentarza"/>
    <w:next w:val="Tekstkomentarza"/>
    <w:link w:val="TematkomentarzaZnak"/>
    <w:locked/>
    <w:rsid w:val="00916047"/>
    <w:rPr>
      <w:b/>
      <w:bCs/>
    </w:rPr>
  </w:style>
  <w:style w:type="character" w:customStyle="1" w:styleId="TematkomentarzaZnak">
    <w:name w:val="Temat komentarza Znak"/>
    <w:basedOn w:val="TekstkomentarzaZnak"/>
    <w:link w:val="Tematkomentarza"/>
    <w:rsid w:val="00916047"/>
    <w:rPr>
      <w:rFonts w:eastAsia="ヒラギノ角ゴ Pro W3"/>
      <w:b/>
      <w:bCs/>
      <w:color w:val="000000"/>
      <w:lang w:eastAsia="en-US"/>
    </w:rPr>
  </w:style>
  <w:style w:type="character" w:styleId="Hipercze">
    <w:name w:val="Hyperlink"/>
    <w:basedOn w:val="Domylnaczcionkaakapitu"/>
    <w:locked/>
    <w:rsid w:val="0033017D"/>
    <w:rPr>
      <w:color w:val="0000FF" w:themeColor="hyperlink"/>
      <w:u w:val="single"/>
    </w:rPr>
  </w:style>
  <w:style w:type="character" w:styleId="UyteHipercze">
    <w:name w:val="FollowedHyperlink"/>
    <w:basedOn w:val="Domylnaczcionkaakapitu"/>
    <w:locked/>
    <w:rsid w:val="00470BD4"/>
    <w:rPr>
      <w:color w:val="800080" w:themeColor="followedHyperlink"/>
      <w:u w:val="single"/>
    </w:rPr>
  </w:style>
  <w:style w:type="paragraph" w:styleId="Zwykytekst">
    <w:name w:val="Plain Text"/>
    <w:basedOn w:val="Normalny"/>
    <w:link w:val="ZwykytekstZnak"/>
    <w:uiPriority w:val="99"/>
    <w:semiHidden/>
    <w:unhideWhenUsed/>
    <w:locked/>
    <w:rsid w:val="008E7CFA"/>
    <w:rPr>
      <w:rFonts w:ascii="Calibri" w:eastAsiaTheme="minorHAnsi" w:hAnsi="Calibri" w:cstheme="minorBidi"/>
      <w:color w:val="auto"/>
      <w:sz w:val="22"/>
      <w:szCs w:val="21"/>
      <w:lang w:val="en-US"/>
    </w:rPr>
  </w:style>
  <w:style w:type="character" w:customStyle="1" w:styleId="ZwykytekstZnak">
    <w:name w:val="Zwykły tekst Znak"/>
    <w:basedOn w:val="Domylnaczcionkaakapitu"/>
    <w:link w:val="Zwykytekst"/>
    <w:uiPriority w:val="99"/>
    <w:semiHidden/>
    <w:rsid w:val="008E7CFA"/>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2559">
      <w:bodyDiv w:val="1"/>
      <w:marLeft w:val="30"/>
      <w:marRight w:val="30"/>
      <w:marTop w:val="0"/>
      <w:marBottom w:val="0"/>
      <w:divBdr>
        <w:top w:val="none" w:sz="0" w:space="0" w:color="auto"/>
        <w:left w:val="none" w:sz="0" w:space="0" w:color="auto"/>
        <w:bottom w:val="none" w:sz="0" w:space="0" w:color="auto"/>
        <w:right w:val="none" w:sz="0" w:space="0" w:color="auto"/>
      </w:divBdr>
      <w:divsChild>
        <w:div w:id="752973413">
          <w:marLeft w:val="0"/>
          <w:marRight w:val="0"/>
          <w:marTop w:val="0"/>
          <w:marBottom w:val="0"/>
          <w:divBdr>
            <w:top w:val="none" w:sz="0" w:space="0" w:color="auto"/>
            <w:left w:val="none" w:sz="0" w:space="0" w:color="auto"/>
            <w:bottom w:val="none" w:sz="0" w:space="0" w:color="auto"/>
            <w:right w:val="none" w:sz="0" w:space="0" w:color="auto"/>
          </w:divBdr>
          <w:divsChild>
            <w:div w:id="482624998">
              <w:marLeft w:val="0"/>
              <w:marRight w:val="0"/>
              <w:marTop w:val="0"/>
              <w:marBottom w:val="0"/>
              <w:divBdr>
                <w:top w:val="none" w:sz="0" w:space="0" w:color="auto"/>
                <w:left w:val="none" w:sz="0" w:space="0" w:color="auto"/>
                <w:bottom w:val="none" w:sz="0" w:space="0" w:color="auto"/>
                <w:right w:val="none" w:sz="0" w:space="0" w:color="auto"/>
              </w:divBdr>
              <w:divsChild>
                <w:div w:id="752623866">
                  <w:marLeft w:val="180"/>
                  <w:marRight w:val="0"/>
                  <w:marTop w:val="0"/>
                  <w:marBottom w:val="0"/>
                  <w:divBdr>
                    <w:top w:val="none" w:sz="0" w:space="0" w:color="auto"/>
                    <w:left w:val="none" w:sz="0" w:space="0" w:color="auto"/>
                    <w:bottom w:val="none" w:sz="0" w:space="0" w:color="auto"/>
                    <w:right w:val="none" w:sz="0" w:space="0" w:color="auto"/>
                  </w:divBdr>
                  <w:divsChild>
                    <w:div w:id="6578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19430">
          <w:marLeft w:val="0"/>
          <w:marRight w:val="0"/>
          <w:marTop w:val="0"/>
          <w:marBottom w:val="0"/>
          <w:divBdr>
            <w:top w:val="none" w:sz="0" w:space="0" w:color="auto"/>
            <w:left w:val="none" w:sz="0" w:space="0" w:color="auto"/>
            <w:bottom w:val="none" w:sz="0" w:space="0" w:color="auto"/>
            <w:right w:val="none" w:sz="0" w:space="0" w:color="auto"/>
          </w:divBdr>
          <w:divsChild>
            <w:div w:id="1922324817">
              <w:marLeft w:val="0"/>
              <w:marRight w:val="0"/>
              <w:marTop w:val="0"/>
              <w:marBottom w:val="0"/>
              <w:divBdr>
                <w:top w:val="none" w:sz="0" w:space="0" w:color="auto"/>
                <w:left w:val="none" w:sz="0" w:space="0" w:color="auto"/>
                <w:bottom w:val="none" w:sz="0" w:space="0" w:color="auto"/>
                <w:right w:val="none" w:sz="0" w:space="0" w:color="auto"/>
              </w:divBdr>
              <w:divsChild>
                <w:div w:id="2109958268">
                  <w:marLeft w:val="180"/>
                  <w:marRight w:val="0"/>
                  <w:marTop w:val="0"/>
                  <w:marBottom w:val="0"/>
                  <w:divBdr>
                    <w:top w:val="none" w:sz="0" w:space="0" w:color="auto"/>
                    <w:left w:val="none" w:sz="0" w:space="0" w:color="auto"/>
                    <w:bottom w:val="none" w:sz="0" w:space="0" w:color="auto"/>
                    <w:right w:val="none" w:sz="0" w:space="0" w:color="auto"/>
                  </w:divBdr>
                  <w:divsChild>
                    <w:div w:id="8310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9559">
      <w:bodyDiv w:val="1"/>
      <w:marLeft w:val="0"/>
      <w:marRight w:val="0"/>
      <w:marTop w:val="0"/>
      <w:marBottom w:val="0"/>
      <w:divBdr>
        <w:top w:val="none" w:sz="0" w:space="0" w:color="auto"/>
        <w:left w:val="none" w:sz="0" w:space="0" w:color="auto"/>
        <w:bottom w:val="none" w:sz="0" w:space="0" w:color="auto"/>
        <w:right w:val="none" w:sz="0" w:space="0" w:color="auto"/>
      </w:divBdr>
    </w:div>
    <w:div w:id="231040248">
      <w:bodyDiv w:val="1"/>
      <w:marLeft w:val="0"/>
      <w:marRight w:val="0"/>
      <w:marTop w:val="0"/>
      <w:marBottom w:val="0"/>
      <w:divBdr>
        <w:top w:val="none" w:sz="0" w:space="0" w:color="auto"/>
        <w:left w:val="none" w:sz="0" w:space="0" w:color="auto"/>
        <w:bottom w:val="none" w:sz="0" w:space="0" w:color="auto"/>
        <w:right w:val="none" w:sz="0" w:space="0" w:color="auto"/>
      </w:divBdr>
    </w:div>
    <w:div w:id="322437458">
      <w:bodyDiv w:val="1"/>
      <w:marLeft w:val="0"/>
      <w:marRight w:val="0"/>
      <w:marTop w:val="0"/>
      <w:marBottom w:val="0"/>
      <w:divBdr>
        <w:top w:val="none" w:sz="0" w:space="0" w:color="auto"/>
        <w:left w:val="none" w:sz="0" w:space="0" w:color="auto"/>
        <w:bottom w:val="none" w:sz="0" w:space="0" w:color="auto"/>
        <w:right w:val="none" w:sz="0" w:space="0" w:color="auto"/>
      </w:divBdr>
    </w:div>
    <w:div w:id="411658393">
      <w:bodyDiv w:val="1"/>
      <w:marLeft w:val="0"/>
      <w:marRight w:val="0"/>
      <w:marTop w:val="0"/>
      <w:marBottom w:val="0"/>
      <w:divBdr>
        <w:top w:val="none" w:sz="0" w:space="0" w:color="auto"/>
        <w:left w:val="none" w:sz="0" w:space="0" w:color="auto"/>
        <w:bottom w:val="none" w:sz="0" w:space="0" w:color="auto"/>
        <w:right w:val="none" w:sz="0" w:space="0" w:color="auto"/>
      </w:divBdr>
    </w:div>
    <w:div w:id="454368924">
      <w:bodyDiv w:val="1"/>
      <w:marLeft w:val="0"/>
      <w:marRight w:val="0"/>
      <w:marTop w:val="0"/>
      <w:marBottom w:val="0"/>
      <w:divBdr>
        <w:top w:val="none" w:sz="0" w:space="0" w:color="auto"/>
        <w:left w:val="none" w:sz="0" w:space="0" w:color="auto"/>
        <w:bottom w:val="none" w:sz="0" w:space="0" w:color="auto"/>
        <w:right w:val="none" w:sz="0" w:space="0" w:color="auto"/>
      </w:divBdr>
    </w:div>
    <w:div w:id="513614552">
      <w:bodyDiv w:val="1"/>
      <w:marLeft w:val="0"/>
      <w:marRight w:val="0"/>
      <w:marTop w:val="0"/>
      <w:marBottom w:val="0"/>
      <w:divBdr>
        <w:top w:val="none" w:sz="0" w:space="0" w:color="auto"/>
        <w:left w:val="none" w:sz="0" w:space="0" w:color="auto"/>
        <w:bottom w:val="none" w:sz="0" w:space="0" w:color="auto"/>
        <w:right w:val="none" w:sz="0" w:space="0" w:color="auto"/>
      </w:divBdr>
    </w:div>
    <w:div w:id="564029040">
      <w:bodyDiv w:val="1"/>
      <w:marLeft w:val="0"/>
      <w:marRight w:val="0"/>
      <w:marTop w:val="0"/>
      <w:marBottom w:val="0"/>
      <w:divBdr>
        <w:top w:val="none" w:sz="0" w:space="0" w:color="auto"/>
        <w:left w:val="none" w:sz="0" w:space="0" w:color="auto"/>
        <w:bottom w:val="none" w:sz="0" w:space="0" w:color="auto"/>
        <w:right w:val="none" w:sz="0" w:space="0" w:color="auto"/>
      </w:divBdr>
    </w:div>
    <w:div w:id="640766250">
      <w:bodyDiv w:val="1"/>
      <w:marLeft w:val="33"/>
      <w:marRight w:val="33"/>
      <w:marTop w:val="0"/>
      <w:marBottom w:val="0"/>
      <w:divBdr>
        <w:top w:val="none" w:sz="0" w:space="0" w:color="auto"/>
        <w:left w:val="none" w:sz="0" w:space="0" w:color="auto"/>
        <w:bottom w:val="none" w:sz="0" w:space="0" w:color="auto"/>
        <w:right w:val="none" w:sz="0" w:space="0" w:color="auto"/>
      </w:divBdr>
      <w:divsChild>
        <w:div w:id="139418715">
          <w:marLeft w:val="0"/>
          <w:marRight w:val="0"/>
          <w:marTop w:val="0"/>
          <w:marBottom w:val="0"/>
          <w:divBdr>
            <w:top w:val="none" w:sz="0" w:space="0" w:color="auto"/>
            <w:left w:val="none" w:sz="0" w:space="0" w:color="auto"/>
            <w:bottom w:val="none" w:sz="0" w:space="0" w:color="auto"/>
            <w:right w:val="none" w:sz="0" w:space="0" w:color="auto"/>
          </w:divBdr>
          <w:divsChild>
            <w:div w:id="1672677390">
              <w:marLeft w:val="0"/>
              <w:marRight w:val="0"/>
              <w:marTop w:val="0"/>
              <w:marBottom w:val="0"/>
              <w:divBdr>
                <w:top w:val="none" w:sz="0" w:space="0" w:color="auto"/>
                <w:left w:val="none" w:sz="0" w:space="0" w:color="auto"/>
                <w:bottom w:val="none" w:sz="0" w:space="0" w:color="auto"/>
                <w:right w:val="none" w:sz="0" w:space="0" w:color="auto"/>
              </w:divBdr>
              <w:divsChild>
                <w:div w:id="1749225789">
                  <w:marLeft w:val="201"/>
                  <w:marRight w:val="0"/>
                  <w:marTop w:val="0"/>
                  <w:marBottom w:val="0"/>
                  <w:divBdr>
                    <w:top w:val="none" w:sz="0" w:space="0" w:color="auto"/>
                    <w:left w:val="none" w:sz="0" w:space="0" w:color="auto"/>
                    <w:bottom w:val="none" w:sz="0" w:space="0" w:color="auto"/>
                    <w:right w:val="none" w:sz="0" w:space="0" w:color="auto"/>
                  </w:divBdr>
                  <w:divsChild>
                    <w:div w:id="1123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50131">
      <w:bodyDiv w:val="1"/>
      <w:marLeft w:val="0"/>
      <w:marRight w:val="0"/>
      <w:marTop w:val="0"/>
      <w:marBottom w:val="0"/>
      <w:divBdr>
        <w:top w:val="none" w:sz="0" w:space="0" w:color="auto"/>
        <w:left w:val="none" w:sz="0" w:space="0" w:color="auto"/>
        <w:bottom w:val="none" w:sz="0" w:space="0" w:color="auto"/>
        <w:right w:val="none" w:sz="0" w:space="0" w:color="auto"/>
      </w:divBdr>
    </w:div>
    <w:div w:id="803814501">
      <w:bodyDiv w:val="1"/>
      <w:marLeft w:val="0"/>
      <w:marRight w:val="0"/>
      <w:marTop w:val="0"/>
      <w:marBottom w:val="0"/>
      <w:divBdr>
        <w:top w:val="none" w:sz="0" w:space="0" w:color="auto"/>
        <w:left w:val="none" w:sz="0" w:space="0" w:color="auto"/>
        <w:bottom w:val="none" w:sz="0" w:space="0" w:color="auto"/>
        <w:right w:val="none" w:sz="0" w:space="0" w:color="auto"/>
      </w:divBdr>
    </w:div>
    <w:div w:id="877355232">
      <w:bodyDiv w:val="1"/>
      <w:marLeft w:val="0"/>
      <w:marRight w:val="0"/>
      <w:marTop w:val="0"/>
      <w:marBottom w:val="0"/>
      <w:divBdr>
        <w:top w:val="none" w:sz="0" w:space="0" w:color="auto"/>
        <w:left w:val="none" w:sz="0" w:space="0" w:color="auto"/>
        <w:bottom w:val="none" w:sz="0" w:space="0" w:color="auto"/>
        <w:right w:val="none" w:sz="0" w:space="0" w:color="auto"/>
      </w:divBdr>
    </w:div>
    <w:div w:id="971133208">
      <w:bodyDiv w:val="1"/>
      <w:marLeft w:val="0"/>
      <w:marRight w:val="0"/>
      <w:marTop w:val="0"/>
      <w:marBottom w:val="0"/>
      <w:divBdr>
        <w:top w:val="none" w:sz="0" w:space="0" w:color="auto"/>
        <w:left w:val="none" w:sz="0" w:space="0" w:color="auto"/>
        <w:bottom w:val="none" w:sz="0" w:space="0" w:color="auto"/>
        <w:right w:val="none" w:sz="0" w:space="0" w:color="auto"/>
      </w:divBdr>
    </w:div>
    <w:div w:id="1077287628">
      <w:bodyDiv w:val="1"/>
      <w:marLeft w:val="0"/>
      <w:marRight w:val="0"/>
      <w:marTop w:val="0"/>
      <w:marBottom w:val="0"/>
      <w:divBdr>
        <w:top w:val="none" w:sz="0" w:space="0" w:color="auto"/>
        <w:left w:val="none" w:sz="0" w:space="0" w:color="auto"/>
        <w:bottom w:val="none" w:sz="0" w:space="0" w:color="auto"/>
        <w:right w:val="none" w:sz="0" w:space="0" w:color="auto"/>
      </w:divBdr>
    </w:div>
    <w:div w:id="1115323225">
      <w:bodyDiv w:val="1"/>
      <w:marLeft w:val="0"/>
      <w:marRight w:val="0"/>
      <w:marTop w:val="0"/>
      <w:marBottom w:val="0"/>
      <w:divBdr>
        <w:top w:val="none" w:sz="0" w:space="0" w:color="auto"/>
        <w:left w:val="none" w:sz="0" w:space="0" w:color="auto"/>
        <w:bottom w:val="none" w:sz="0" w:space="0" w:color="auto"/>
        <w:right w:val="none" w:sz="0" w:space="0" w:color="auto"/>
      </w:divBdr>
    </w:div>
    <w:div w:id="1210603728">
      <w:bodyDiv w:val="1"/>
      <w:marLeft w:val="0"/>
      <w:marRight w:val="0"/>
      <w:marTop w:val="0"/>
      <w:marBottom w:val="0"/>
      <w:divBdr>
        <w:top w:val="none" w:sz="0" w:space="0" w:color="auto"/>
        <w:left w:val="none" w:sz="0" w:space="0" w:color="auto"/>
        <w:bottom w:val="none" w:sz="0" w:space="0" w:color="auto"/>
        <w:right w:val="none" w:sz="0" w:space="0" w:color="auto"/>
      </w:divBdr>
    </w:div>
    <w:div w:id="1226068771">
      <w:bodyDiv w:val="1"/>
      <w:marLeft w:val="0"/>
      <w:marRight w:val="0"/>
      <w:marTop w:val="0"/>
      <w:marBottom w:val="0"/>
      <w:divBdr>
        <w:top w:val="none" w:sz="0" w:space="0" w:color="auto"/>
        <w:left w:val="none" w:sz="0" w:space="0" w:color="auto"/>
        <w:bottom w:val="none" w:sz="0" w:space="0" w:color="auto"/>
        <w:right w:val="none" w:sz="0" w:space="0" w:color="auto"/>
      </w:divBdr>
    </w:div>
    <w:div w:id="1409496772">
      <w:bodyDiv w:val="1"/>
      <w:marLeft w:val="0"/>
      <w:marRight w:val="0"/>
      <w:marTop w:val="0"/>
      <w:marBottom w:val="0"/>
      <w:divBdr>
        <w:top w:val="none" w:sz="0" w:space="0" w:color="auto"/>
        <w:left w:val="none" w:sz="0" w:space="0" w:color="auto"/>
        <w:bottom w:val="none" w:sz="0" w:space="0" w:color="auto"/>
        <w:right w:val="none" w:sz="0" w:space="0" w:color="auto"/>
      </w:divBdr>
    </w:div>
    <w:div w:id="1491409038">
      <w:bodyDiv w:val="1"/>
      <w:marLeft w:val="30"/>
      <w:marRight w:val="30"/>
      <w:marTop w:val="0"/>
      <w:marBottom w:val="0"/>
      <w:divBdr>
        <w:top w:val="none" w:sz="0" w:space="0" w:color="auto"/>
        <w:left w:val="none" w:sz="0" w:space="0" w:color="auto"/>
        <w:bottom w:val="none" w:sz="0" w:space="0" w:color="auto"/>
        <w:right w:val="none" w:sz="0" w:space="0" w:color="auto"/>
      </w:divBdr>
      <w:divsChild>
        <w:div w:id="1157917405">
          <w:marLeft w:val="0"/>
          <w:marRight w:val="0"/>
          <w:marTop w:val="0"/>
          <w:marBottom w:val="0"/>
          <w:divBdr>
            <w:top w:val="none" w:sz="0" w:space="0" w:color="auto"/>
            <w:left w:val="none" w:sz="0" w:space="0" w:color="auto"/>
            <w:bottom w:val="none" w:sz="0" w:space="0" w:color="auto"/>
            <w:right w:val="none" w:sz="0" w:space="0" w:color="auto"/>
          </w:divBdr>
          <w:divsChild>
            <w:div w:id="1601912895">
              <w:marLeft w:val="0"/>
              <w:marRight w:val="0"/>
              <w:marTop w:val="0"/>
              <w:marBottom w:val="0"/>
              <w:divBdr>
                <w:top w:val="none" w:sz="0" w:space="0" w:color="auto"/>
                <w:left w:val="none" w:sz="0" w:space="0" w:color="auto"/>
                <w:bottom w:val="none" w:sz="0" w:space="0" w:color="auto"/>
                <w:right w:val="none" w:sz="0" w:space="0" w:color="auto"/>
              </w:divBdr>
              <w:divsChild>
                <w:div w:id="246768896">
                  <w:marLeft w:val="180"/>
                  <w:marRight w:val="0"/>
                  <w:marTop w:val="0"/>
                  <w:marBottom w:val="0"/>
                  <w:divBdr>
                    <w:top w:val="none" w:sz="0" w:space="0" w:color="auto"/>
                    <w:left w:val="none" w:sz="0" w:space="0" w:color="auto"/>
                    <w:bottom w:val="none" w:sz="0" w:space="0" w:color="auto"/>
                    <w:right w:val="none" w:sz="0" w:space="0" w:color="auto"/>
                  </w:divBdr>
                  <w:divsChild>
                    <w:div w:id="18465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138193">
      <w:bodyDiv w:val="1"/>
      <w:marLeft w:val="0"/>
      <w:marRight w:val="0"/>
      <w:marTop w:val="0"/>
      <w:marBottom w:val="0"/>
      <w:divBdr>
        <w:top w:val="none" w:sz="0" w:space="0" w:color="auto"/>
        <w:left w:val="none" w:sz="0" w:space="0" w:color="auto"/>
        <w:bottom w:val="none" w:sz="0" w:space="0" w:color="auto"/>
        <w:right w:val="none" w:sz="0" w:space="0" w:color="auto"/>
      </w:divBdr>
    </w:div>
    <w:div w:id="1831019189">
      <w:bodyDiv w:val="1"/>
      <w:marLeft w:val="0"/>
      <w:marRight w:val="0"/>
      <w:marTop w:val="0"/>
      <w:marBottom w:val="0"/>
      <w:divBdr>
        <w:top w:val="none" w:sz="0" w:space="0" w:color="auto"/>
        <w:left w:val="none" w:sz="0" w:space="0" w:color="auto"/>
        <w:bottom w:val="none" w:sz="0" w:space="0" w:color="auto"/>
        <w:right w:val="none" w:sz="0" w:space="0" w:color="auto"/>
      </w:divBdr>
    </w:div>
    <w:div w:id="1987973691">
      <w:bodyDiv w:val="1"/>
      <w:marLeft w:val="0"/>
      <w:marRight w:val="0"/>
      <w:marTop w:val="0"/>
      <w:marBottom w:val="0"/>
      <w:divBdr>
        <w:top w:val="none" w:sz="0" w:space="0" w:color="auto"/>
        <w:left w:val="none" w:sz="0" w:space="0" w:color="auto"/>
        <w:bottom w:val="none" w:sz="0" w:space="0" w:color="auto"/>
        <w:right w:val="none" w:sz="0" w:space="0" w:color="auto"/>
      </w:divBdr>
    </w:div>
    <w:div w:id="2005206698">
      <w:bodyDiv w:val="1"/>
      <w:marLeft w:val="0"/>
      <w:marRight w:val="0"/>
      <w:marTop w:val="0"/>
      <w:marBottom w:val="0"/>
      <w:divBdr>
        <w:top w:val="none" w:sz="0" w:space="0" w:color="auto"/>
        <w:left w:val="none" w:sz="0" w:space="0" w:color="auto"/>
        <w:bottom w:val="none" w:sz="0" w:space="0" w:color="auto"/>
        <w:right w:val="none" w:sz="0" w:space="0" w:color="auto"/>
      </w:divBdr>
    </w:div>
    <w:div w:id="2050060158">
      <w:bodyDiv w:val="1"/>
      <w:marLeft w:val="0"/>
      <w:marRight w:val="0"/>
      <w:marTop w:val="0"/>
      <w:marBottom w:val="0"/>
      <w:divBdr>
        <w:top w:val="none" w:sz="0" w:space="0" w:color="auto"/>
        <w:left w:val="none" w:sz="0" w:space="0" w:color="auto"/>
        <w:bottom w:val="none" w:sz="0" w:space="0" w:color="auto"/>
        <w:right w:val="none" w:sz="0" w:space="0" w:color="auto"/>
      </w:divBdr>
    </w:div>
    <w:div w:id="2050300599">
      <w:bodyDiv w:val="1"/>
      <w:marLeft w:val="30"/>
      <w:marRight w:val="30"/>
      <w:marTop w:val="0"/>
      <w:marBottom w:val="0"/>
      <w:divBdr>
        <w:top w:val="none" w:sz="0" w:space="0" w:color="auto"/>
        <w:left w:val="none" w:sz="0" w:space="0" w:color="auto"/>
        <w:bottom w:val="none" w:sz="0" w:space="0" w:color="auto"/>
        <w:right w:val="none" w:sz="0" w:space="0" w:color="auto"/>
      </w:divBdr>
      <w:divsChild>
        <w:div w:id="2101759291">
          <w:marLeft w:val="0"/>
          <w:marRight w:val="0"/>
          <w:marTop w:val="0"/>
          <w:marBottom w:val="0"/>
          <w:divBdr>
            <w:top w:val="none" w:sz="0" w:space="0" w:color="auto"/>
            <w:left w:val="none" w:sz="0" w:space="0" w:color="auto"/>
            <w:bottom w:val="none" w:sz="0" w:space="0" w:color="auto"/>
            <w:right w:val="none" w:sz="0" w:space="0" w:color="auto"/>
          </w:divBdr>
          <w:divsChild>
            <w:div w:id="1440026154">
              <w:marLeft w:val="0"/>
              <w:marRight w:val="0"/>
              <w:marTop w:val="0"/>
              <w:marBottom w:val="0"/>
              <w:divBdr>
                <w:top w:val="none" w:sz="0" w:space="0" w:color="auto"/>
                <w:left w:val="none" w:sz="0" w:space="0" w:color="auto"/>
                <w:bottom w:val="none" w:sz="0" w:space="0" w:color="auto"/>
                <w:right w:val="none" w:sz="0" w:space="0" w:color="auto"/>
              </w:divBdr>
              <w:divsChild>
                <w:div w:id="414977864">
                  <w:marLeft w:val="180"/>
                  <w:marRight w:val="0"/>
                  <w:marTop w:val="0"/>
                  <w:marBottom w:val="0"/>
                  <w:divBdr>
                    <w:top w:val="none" w:sz="0" w:space="0" w:color="auto"/>
                    <w:left w:val="none" w:sz="0" w:space="0" w:color="auto"/>
                    <w:bottom w:val="none" w:sz="0" w:space="0" w:color="auto"/>
                    <w:right w:val="none" w:sz="0" w:space="0" w:color="auto"/>
                  </w:divBdr>
                  <w:divsChild>
                    <w:div w:id="1765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7414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cushwake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ichael.reilly@eur.cushwake.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823C0-C491-4AED-A264-842751C6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4</Pages>
  <Words>1902</Words>
  <Characters>10211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normal</vt:lpstr>
    </vt:vector>
  </TitlesOfParts>
  <Company>Cushman &amp; Wakefield</Company>
  <LinksUpToDate>false</LinksUpToDate>
  <CharactersWithSpaces>12089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IT Department</dc:creator>
  <cp:lastModifiedBy>Jan Zaworski</cp:lastModifiedBy>
  <cp:revision>529</cp:revision>
  <cp:lastPrinted>2014-11-11T14:58:00Z</cp:lastPrinted>
  <dcterms:created xsi:type="dcterms:W3CDTF">2014-11-10T11:56:00Z</dcterms:created>
  <dcterms:modified xsi:type="dcterms:W3CDTF">2014-11-19T08:21:00Z</dcterms:modified>
</cp:coreProperties>
</file>